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Hang Seng Index and Key Stocks Report</w:t>
      </w:r>
    </w:p>
    <w:p/>
    <w:p>
      <w:r>
        <w:rPr>
          <w:rFonts w:ascii="Calibri" w:hAnsi="Calibri"/>
          <w:b/>
          <w:sz w:val="22"/>
        </w:rPr>
        <w:t>Generated at:</w:t>
      </w:r>
      <w:r>
        <w:rPr>
          <w:rFonts w:ascii="Calibri" w:hAnsi="Calibri"/>
          <w:sz w:val="22"/>
        </w:rPr>
        <w:t xml:space="preserve"> 2026-08-26 00:38:05 UTC</w:t>
      </w:r>
    </w:p>
    <w:p>
      <w:r>
        <w:rPr>
          <w:rFonts w:ascii="Calibri" w:hAnsi="Calibri"/>
          <w:b/>
          <w:sz w:val="22"/>
        </w:rPr>
        <w:t>Data Source:</w:t>
      </w:r>
      <w:r>
        <w:rPr>
          <w:rFonts w:ascii="Calibri" w:hAnsi="Calibri"/>
          <w:sz w:val="22"/>
        </w:rPr>
        <w:t xml:space="preserve"> Yahoo Finance (real-time)</w:t>
      </w:r>
    </w:p>
    <w:p>
      <w:r>
        <w:rPr>
          <w:rFonts w:ascii="Calibri" w:hAnsi="Calibri"/>
          <w:b/>
          <w:sz w:val="22"/>
        </w:rPr>
        <w:t>Note:</w:t>
      </w:r>
      <w:r>
        <w:rPr>
          <w:rFonts w:ascii="Calibri" w:hAnsi="Calibri"/>
          <w:sz w:val="22"/>
        </w:rPr>
        <w:t xml:space="preserve"> Indices and stocks are from the Hong Kong Exchange (HKEX). Prices are in HKD unless otherwise noted.</w:t>
      </w:r>
    </w:p>
    <w:p/>
    <w:p>
      <w:pPr>
        <w:pStyle w:val="Heading2"/>
      </w:pPr>
      <w:r>
        <w:t>Indices</w:t>
      </w:r>
    </w:p>
    <w:p/>
    <w:tbl>
      <w:tblPr>
        <w:tblStyle w:val="LightGrid-Accent1"/>
        <w:tblW w:type="auto" w:w="0"/>
        <w:tblLayout w:type="autofit"/>
        <w:tblLook w:firstColumn="1" w:firstRow="1" w:lastColumn="0" w:lastRow="0" w:noHBand="0" w:noVBand="1" w:val="04A0"/>
      </w:tblPr>
      <w:tblGrid>
        <w:gridCol w:w="1234"/>
        <w:gridCol w:w="1234"/>
        <w:gridCol w:w="1234"/>
        <w:gridCol w:w="1234"/>
        <w:gridCol w:w="1234"/>
        <w:gridCol w:w="1234"/>
        <w:gridCol w:w="1234"/>
      </w:tblGrid>
      <w:tr>
        <w:tc>
          <w:tcPr>
            <w:tcW w:type="dxa" w:w="1234"/>
          </w:tcPr>
          <w:p>
            <w:r>
              <w:rPr>
                <w:b/>
              </w:rPr>
              <w:t>Index</w:t>
            </w:r>
          </w:p>
        </w:tc>
        <w:tc>
          <w:tcPr>
            <w:tcW w:type="dxa" w:w="1234"/>
          </w:tcPr>
          <w:p>
            <w:r>
              <w:rPr>
                <w:b/>
              </w:rPr>
              <w:t>Symbol</w:t>
            </w:r>
          </w:p>
        </w:tc>
        <w:tc>
          <w:tcPr>
            <w:tcW w:type="dxa" w:w="1234"/>
          </w:tcPr>
          <w:p>
            <w:r>
              <w:rPr>
                <w:b/>
              </w:rPr>
              <w:t>Price (HKD)</w:t>
            </w:r>
          </w:p>
        </w:tc>
        <w:tc>
          <w:tcPr>
            <w:tcW w:type="dxa" w:w="1234"/>
          </w:tcPr>
          <w:p>
            <w:r>
              <w:rPr>
                <w:b/>
              </w:rPr>
              <w:t>Previous Close</w:t>
            </w:r>
          </w:p>
        </w:tc>
        <w:tc>
          <w:tcPr>
            <w:tcW w:type="dxa" w:w="1234"/>
          </w:tcPr>
          <w:p>
            <w:r>
              <w:rPr>
                <w:b/>
              </w:rPr>
              <w:t>Change (HKD)</w:t>
            </w:r>
          </w:p>
        </w:tc>
        <w:tc>
          <w:tcPr>
            <w:tcW w:type="dxa" w:w="1234"/>
          </w:tcPr>
          <w:p>
            <w:r>
              <w:rPr>
                <w:b/>
              </w:rPr>
              <w:t>Change %</w:t>
            </w:r>
          </w:p>
        </w:tc>
        <w:tc>
          <w:tcPr>
            <w:tcW w:type="dxa" w:w="1234"/>
          </w:tcPr>
          <w:p>
            <w:r>
              <w:rPr>
                <w:b/>
              </w:rPr>
              <w:t>Currency</w:t>
            </w:r>
          </w:p>
        </w:tc>
      </w:tr>
      <w:tr>
        <w:tc>
          <w:tcPr>
            <w:tcW w:type="dxa" w:w="1234"/>
          </w:tcPr>
          <w:p>
            <w:r>
              <w:t>Hang Seng Index</w:t>
            </w:r>
          </w:p>
        </w:tc>
        <w:tc>
          <w:tcPr>
            <w:tcW w:type="dxa" w:w="1234"/>
          </w:tcPr>
          <w:p>
            <w:r>
              <w:t>HSI</w:t>
            </w:r>
          </w:p>
        </w:tc>
        <w:tc>
          <w:tcPr>
            <w:tcW w:type="dxa" w:w="1234"/>
          </w:tcPr>
          <w:p>
            <w:r>
              <w:t>25511.1</w:t>
            </w:r>
          </w:p>
        </w:tc>
        <w:tc>
          <w:tcPr>
            <w:tcW w:type="dxa" w:w="1234"/>
          </w:tcPr>
          <w:p>
            <w:r>
              <w:t>26009.5</w:t>
            </w:r>
          </w:p>
        </w:tc>
        <w:tc>
          <w:tcPr>
            <w:tcW w:type="dxa" w:w="1234"/>
          </w:tcPr>
          <w:p>
            <w:r>
              <w:t>-498.4</w:t>
            </w:r>
          </w:p>
        </w:tc>
        <w:tc>
          <w:tcPr>
            <w:tcW w:type="dxa" w:w="1234"/>
          </w:tcPr>
          <w:p>
            <w:r>
              <w:t>-1.916%</w:t>
            </w:r>
          </w:p>
        </w:tc>
        <w:tc>
          <w:tcPr>
            <w:tcW w:type="dxa" w:w="1234"/>
          </w:tcPr>
          <w:p>
            <w:r>
              <w:t>HKD</w:t>
            </w:r>
          </w:p>
        </w:tc>
      </w:tr>
      <w:tr>
        <w:tc>
          <w:tcPr>
            <w:tcW w:type="dxa" w:w="1234"/>
          </w:tcPr>
          <w:p>
            <w:r>
              <w:t>Hang Seng China Enterprises Index</w:t>
            </w:r>
          </w:p>
        </w:tc>
        <w:tc>
          <w:tcPr>
            <w:tcW w:type="dxa" w:w="1234"/>
          </w:tcPr>
          <w:p>
            <w:r>
              <w:t>HSCEI</w:t>
            </w:r>
          </w:p>
        </w:tc>
        <w:tc>
          <w:tcPr>
            <w:tcW w:type="dxa" w:w="1234"/>
          </w:tcPr>
          <w:p>
            <w:r>
              <w:t>Data not available</w:t>
            </w:r>
          </w:p>
        </w:tc>
        <w:tc>
          <w:tcPr>
            <w:tcW w:type="dxa" w:w="1234"/>
          </w:tcPr>
          <w:p>
            <w:r>
              <w:t>Data not available</w:t>
            </w:r>
          </w:p>
        </w:tc>
        <w:tc>
          <w:tcPr>
            <w:tcW w:type="dxa" w:w="1234"/>
          </w:tcPr>
          <w:p>
            <w:r>
              <w:t>Data not available</w:t>
            </w:r>
          </w:p>
        </w:tc>
        <w:tc>
          <w:tcPr>
            <w:tcW w:type="dxa" w:w="1234"/>
          </w:tcPr>
          <w:p>
            <w:r>
              <w:t>Data not available</w:t>
            </w:r>
          </w:p>
        </w:tc>
        <w:tc>
          <w:tcPr>
            <w:tcW w:type="dxa" w:w="1234"/>
          </w:tcPr>
          <w:p>
            <w:r>
              <w:t>HKD</w:t>
            </w:r>
          </w:p>
        </w:tc>
      </w:tr>
      <w:tr>
        <w:tc>
          <w:tcPr>
            <w:tcW w:type="dxa" w:w="1234"/>
          </w:tcPr>
          <w:p>
            <w:r>
              <w:t>Hang Seng Tech Index</w:t>
            </w:r>
          </w:p>
        </w:tc>
        <w:tc>
          <w:tcPr>
            <w:tcW w:type="dxa" w:w="1234"/>
          </w:tcPr>
          <w:p>
            <w:r>
              <w:t>HSTECH</w:t>
            </w:r>
          </w:p>
        </w:tc>
        <w:tc>
          <w:tcPr>
            <w:tcW w:type="dxa" w:w="1234"/>
          </w:tcPr>
          <w:p>
            <w:r>
              <w:t>Data not available</w:t>
            </w:r>
          </w:p>
        </w:tc>
        <w:tc>
          <w:tcPr>
            <w:tcW w:type="dxa" w:w="1234"/>
          </w:tcPr>
          <w:p>
            <w:r>
              <w:t>Data not available</w:t>
            </w:r>
          </w:p>
        </w:tc>
        <w:tc>
          <w:tcPr>
            <w:tcW w:type="dxa" w:w="1234"/>
          </w:tcPr>
          <w:p>
            <w:r>
              <w:t>Data not available</w:t>
            </w:r>
          </w:p>
        </w:tc>
        <w:tc>
          <w:tcPr>
            <w:tcW w:type="dxa" w:w="1234"/>
          </w:tcPr>
          <w:p>
            <w:r>
              <w:t>Data not available</w:t>
            </w:r>
          </w:p>
        </w:tc>
        <w:tc>
          <w:tcPr>
            <w:tcW w:type="dxa" w:w="1234"/>
          </w:tcPr>
          <w:p>
            <w:r>
              <w:t>HKD</w:t>
            </w:r>
          </w:p>
        </w:tc>
      </w:tr>
    </w:tbl>
    <w:p/>
    <w:p>
      <w:pPr>
        <w:pStyle w:val="Heading2"/>
      </w:pPr>
      <w:r>
        <w:t>Key Stocks</w:t>
      </w:r>
    </w:p>
    <w:p/>
    <w:tbl>
      <w:tblPr>
        <w:tblStyle w:val="LightGrid-Accent1"/>
        <w:tblW w:type="auto" w:w="0"/>
        <w:tblLayout w:type="autofit"/>
        <w:tblLook w:firstColumn="1" w:firstRow="1" w:lastColumn="0" w:lastRow="0" w:noHBand="0" w:noVBand="1" w:val="04A0"/>
      </w:tblPr>
      <w:tblGrid>
        <w:gridCol w:w="1080"/>
        <w:gridCol w:w="1080"/>
        <w:gridCol w:w="1080"/>
        <w:gridCol w:w="1080"/>
        <w:gridCol w:w="1080"/>
        <w:gridCol w:w="1080"/>
        <w:gridCol w:w="1080"/>
        <w:gridCol w:w="1080"/>
      </w:tblGrid>
      <w:tr>
        <w:tc>
          <w:tcPr>
            <w:tcW w:type="dxa" w:w="1080"/>
          </w:tcPr>
          <w:p>
            <w:r>
              <w:rPr>
                <w:b/>
              </w:rPr>
              <w:t>Stock</w:t>
            </w:r>
          </w:p>
        </w:tc>
        <w:tc>
          <w:tcPr>
            <w:tcW w:type="dxa" w:w="1080"/>
          </w:tcPr>
          <w:p>
            <w:r>
              <w:rPr>
                <w:b/>
              </w:rPr>
              <w:t>Symbol</w:t>
            </w:r>
          </w:p>
        </w:tc>
        <w:tc>
          <w:tcPr>
            <w:tcW w:type="dxa" w:w="1080"/>
          </w:tcPr>
          <w:p>
            <w:r>
              <w:rPr>
                <w:b/>
              </w:rPr>
              <w:t>Price (HKD)</w:t>
            </w:r>
          </w:p>
        </w:tc>
        <w:tc>
          <w:tcPr>
            <w:tcW w:type="dxa" w:w="1080"/>
          </w:tcPr>
          <w:p>
            <w:r>
              <w:rPr>
                <w:b/>
              </w:rPr>
              <w:t>Previous Close</w:t>
            </w:r>
          </w:p>
        </w:tc>
        <w:tc>
          <w:tcPr>
            <w:tcW w:type="dxa" w:w="1080"/>
          </w:tcPr>
          <w:p>
            <w:r>
              <w:rPr>
                <w:b/>
              </w:rPr>
              <w:t>Change (HKD)</w:t>
            </w:r>
          </w:p>
        </w:tc>
        <w:tc>
          <w:tcPr>
            <w:tcW w:type="dxa" w:w="1080"/>
          </w:tcPr>
          <w:p>
            <w:r>
              <w:rPr>
                <w:b/>
              </w:rPr>
              <w:t>Change %</w:t>
            </w:r>
          </w:p>
        </w:tc>
        <w:tc>
          <w:tcPr>
            <w:tcW w:type="dxa" w:w="1080"/>
          </w:tcPr>
          <w:p>
            <w:r>
              <w:rPr>
                <w:b/>
              </w:rPr>
              <w:t>Volume</w:t>
            </w:r>
          </w:p>
        </w:tc>
        <w:tc>
          <w:tcPr>
            <w:tcW w:type="dxa" w:w="1080"/>
          </w:tcPr>
          <w:p>
            <w:r>
              <w:rPr>
                <w:b/>
              </w:rPr>
              <w:t>Market Cap (HKD)</w:t>
            </w:r>
          </w:p>
        </w:tc>
      </w:tr>
      <w:tr>
        <w:tc>
          <w:tcPr>
            <w:tcW w:type="dxa" w:w="1080"/>
          </w:tcPr>
          <w:p>
            <w:r>
              <w:t>HSBC Holdings</w:t>
            </w:r>
          </w:p>
        </w:tc>
        <w:tc>
          <w:tcPr>
            <w:tcW w:type="dxa" w:w="1080"/>
          </w:tcPr>
          <w:p>
            <w:r>
              <w:t>0005.HK</w:t>
            </w:r>
          </w:p>
        </w:tc>
        <w:tc>
          <w:tcPr>
            <w:tcW w:type="dxa" w:w="1080"/>
          </w:tcPr>
          <w:p>
            <w:r>
              <w:t>163.2</w:t>
            </w:r>
          </w:p>
        </w:tc>
        <w:tc>
          <w:tcPr>
            <w:tcW w:type="dxa" w:w="1080"/>
          </w:tcPr>
          <w:p>
            <w:r>
              <w:t>161.5</w:t>
            </w:r>
          </w:p>
        </w:tc>
        <w:tc>
          <w:tcPr>
            <w:tcW w:type="dxa" w:w="1080"/>
          </w:tcPr>
          <w:p>
            <w:r>
              <w:t>+1.70</w:t>
            </w:r>
          </w:p>
        </w:tc>
        <w:tc>
          <w:tcPr>
            <w:tcW w:type="dxa" w:w="1080"/>
          </w:tcPr>
          <w:p>
            <w:r>
              <w:t>+1.053%</w:t>
            </w:r>
          </w:p>
        </w:tc>
        <w:tc>
          <w:tcPr>
            <w:tcW w:type="dxa" w:w="1080"/>
          </w:tcPr>
          <w:p>
            <w:r>
              <w:t>7,585,911</w:t>
            </w:r>
          </w:p>
        </w:tc>
        <w:tc>
          <w:tcPr>
            <w:tcW w:type="dxa" w:w="1080"/>
          </w:tcPr>
          <w:p>
            <w:r>
              <w:t>2,796,365,283,328</w:t>
            </w:r>
          </w:p>
        </w:tc>
      </w:tr>
      <w:tr>
        <w:tc>
          <w:tcPr>
            <w:tcW w:type="dxa" w:w="1080"/>
          </w:tcPr>
          <w:p>
            <w:r>
              <w:t>Tencent Holdings</w:t>
            </w:r>
          </w:p>
        </w:tc>
        <w:tc>
          <w:tcPr>
            <w:tcW w:type="dxa" w:w="1080"/>
          </w:tcPr>
          <w:p>
            <w:r>
              <w:t>0700.HK</w:t>
            </w:r>
          </w:p>
        </w:tc>
        <w:tc>
          <w:tcPr>
            <w:tcW w:type="dxa" w:w="1080"/>
          </w:tcPr>
          <w:p>
            <w:r>
              <w:t>442.0</w:t>
            </w:r>
          </w:p>
        </w:tc>
        <w:tc>
          <w:tcPr>
            <w:tcW w:type="dxa" w:w="1080"/>
          </w:tcPr>
          <w:p>
            <w:r>
              <w:t>440.0</w:t>
            </w:r>
          </w:p>
        </w:tc>
        <w:tc>
          <w:tcPr>
            <w:tcW w:type="dxa" w:w="1080"/>
          </w:tcPr>
          <w:p>
            <w:r>
              <w:t>+2.00</w:t>
            </w:r>
          </w:p>
        </w:tc>
        <w:tc>
          <w:tcPr>
            <w:tcW w:type="dxa" w:w="1080"/>
          </w:tcPr>
          <w:p>
            <w:r>
              <w:t>+0.455%</w:t>
            </w:r>
          </w:p>
        </w:tc>
        <w:tc>
          <w:tcPr>
            <w:tcW w:type="dxa" w:w="1080"/>
          </w:tcPr>
          <w:p>
            <w:r>
              <w:t>13,032,108</w:t>
            </w:r>
          </w:p>
        </w:tc>
        <w:tc>
          <w:tcPr>
            <w:tcW w:type="dxa" w:w="1080"/>
          </w:tcPr>
          <w:p>
            <w:r>
              <w:t>3,981,627,097,088</w:t>
            </w:r>
          </w:p>
        </w:tc>
      </w:tr>
      <w:tr>
        <w:tc>
          <w:tcPr>
            <w:tcW w:type="dxa" w:w="1080"/>
          </w:tcPr>
          <w:p>
            <w:r>
              <w:t>China Construction Bank</w:t>
            </w:r>
          </w:p>
        </w:tc>
        <w:tc>
          <w:tcPr>
            <w:tcW w:type="dxa" w:w="1080"/>
          </w:tcPr>
          <w:p>
            <w:r>
              <w:t>0939.HK</w:t>
            </w:r>
          </w:p>
        </w:tc>
        <w:tc>
          <w:tcPr>
            <w:tcW w:type="dxa" w:w="1080"/>
          </w:tcPr>
          <w:p>
            <w:r>
              <w:t>9.18</w:t>
            </w:r>
          </w:p>
        </w:tc>
        <w:tc>
          <w:tcPr>
            <w:tcW w:type="dxa" w:w="1080"/>
          </w:tcPr>
          <w:p>
            <w:r>
              <w:t>9.175</w:t>
            </w:r>
          </w:p>
        </w:tc>
        <w:tc>
          <w:tcPr>
            <w:tcW w:type="dxa" w:w="1080"/>
          </w:tcPr>
          <w:p>
            <w:r>
              <w:t>+0.005</w:t>
            </w:r>
          </w:p>
        </w:tc>
        <w:tc>
          <w:tcPr>
            <w:tcW w:type="dxa" w:w="1080"/>
          </w:tcPr>
          <w:p>
            <w:r>
              <w:t>+0.054%</w:t>
            </w:r>
          </w:p>
        </w:tc>
        <w:tc>
          <w:tcPr>
            <w:tcW w:type="dxa" w:w="1080"/>
          </w:tcPr>
          <w:p>
            <w:r>
              <w:t>192,023,330</w:t>
            </w:r>
          </w:p>
        </w:tc>
        <w:tc>
          <w:tcPr>
            <w:tcW w:type="dxa" w:w="1080"/>
          </w:tcPr>
          <w:p>
            <w:r>
              <w:t>2,401,491,484,672</w:t>
            </w:r>
          </w:p>
        </w:tc>
      </w:tr>
      <w:tr>
        <w:tc>
          <w:tcPr>
            <w:tcW w:type="dxa" w:w="1080"/>
          </w:tcPr>
          <w:p>
            <w:r>
              <w:t>BYD Company</w:t>
            </w:r>
          </w:p>
        </w:tc>
        <w:tc>
          <w:tcPr>
            <w:tcW w:type="dxa" w:w="1080"/>
          </w:tcPr>
          <w:p>
            <w:r>
              <w:t>1211.HK</w:t>
            </w:r>
          </w:p>
        </w:tc>
        <w:tc>
          <w:tcPr>
            <w:tcW w:type="dxa" w:w="1080"/>
          </w:tcPr>
          <w:p>
            <w:r>
              <w:t>93.6</w:t>
            </w:r>
          </w:p>
        </w:tc>
        <w:tc>
          <w:tcPr>
            <w:tcW w:type="dxa" w:w="1080"/>
          </w:tcPr>
          <w:p>
            <w:r>
              <w:t>92.8</w:t>
            </w:r>
          </w:p>
        </w:tc>
        <w:tc>
          <w:tcPr>
            <w:tcW w:type="dxa" w:w="1080"/>
          </w:tcPr>
          <w:p>
            <w:r>
              <w:t>+0.80</w:t>
            </w:r>
          </w:p>
        </w:tc>
        <w:tc>
          <w:tcPr>
            <w:tcW w:type="dxa" w:w="1080"/>
          </w:tcPr>
          <w:p>
            <w:r>
              <w:t>+0.862%</w:t>
            </w:r>
          </w:p>
        </w:tc>
        <w:tc>
          <w:tcPr>
            <w:tcW w:type="dxa" w:w="1080"/>
          </w:tcPr>
          <w:p>
            <w:r>
              <w:t>19,589,015</w:t>
            </w:r>
          </w:p>
        </w:tc>
        <w:tc>
          <w:tcPr>
            <w:tcW w:type="dxa" w:w="1080"/>
          </w:tcPr>
          <w:p>
            <w:r>
              <w:t>853,369,683,968</w:t>
            </w:r>
          </w:p>
        </w:tc>
      </w:tr>
      <w:tr>
        <w:tc>
          <w:tcPr>
            <w:tcW w:type="dxa" w:w="1080"/>
          </w:tcPr>
          <w:p>
            <w:r>
              <w:t>Xiaomi Corporation</w:t>
            </w:r>
          </w:p>
        </w:tc>
        <w:tc>
          <w:tcPr>
            <w:tcW w:type="dxa" w:w="1080"/>
          </w:tcPr>
          <w:p>
            <w:r>
              <w:t>1810.HK</w:t>
            </w:r>
          </w:p>
        </w:tc>
        <w:tc>
          <w:tcPr>
            <w:tcW w:type="dxa" w:w="1080"/>
          </w:tcPr>
          <w:p>
            <w:r>
              <w:t>27.76</w:t>
            </w:r>
          </w:p>
        </w:tc>
        <w:tc>
          <w:tcPr>
            <w:tcW w:type="dxa" w:w="1080"/>
          </w:tcPr>
          <w:p>
            <w:r>
              <w:t>27.82</w:t>
            </w:r>
          </w:p>
        </w:tc>
        <w:tc>
          <w:tcPr>
            <w:tcW w:type="dxa" w:w="1080"/>
          </w:tcPr>
          <w:p>
            <w:r>
              <w:t>-0.06</w:t>
            </w:r>
          </w:p>
        </w:tc>
        <w:tc>
          <w:tcPr>
            <w:tcW w:type="dxa" w:w="1080"/>
          </w:tcPr>
          <w:p>
            <w:r>
              <w:t>-0.216%</w:t>
            </w:r>
          </w:p>
        </w:tc>
        <w:tc>
          <w:tcPr>
            <w:tcW w:type="dxa" w:w="1080"/>
          </w:tcPr>
          <w:p>
            <w:r>
              <w:t>81,489,138</w:t>
            </w:r>
          </w:p>
        </w:tc>
        <w:tc>
          <w:tcPr>
            <w:tcW w:type="dxa" w:w="1080"/>
          </w:tcPr>
          <w:p>
            <w:r>
              <w:t>714,453,549,056</w:t>
            </w:r>
          </w:p>
        </w:tc>
      </w:tr>
      <w:tr>
        <w:tc>
          <w:tcPr>
            <w:tcW w:type="dxa" w:w="1080"/>
          </w:tcPr>
          <w:p>
            <w:r>
              <w:t>Ping An Insurance</w:t>
            </w:r>
          </w:p>
        </w:tc>
        <w:tc>
          <w:tcPr>
            <w:tcW w:type="dxa" w:w="1080"/>
          </w:tcPr>
          <w:p>
            <w:r>
              <w:t>2318.HK</w:t>
            </w:r>
          </w:p>
        </w:tc>
        <w:tc>
          <w:tcPr>
            <w:tcW w:type="dxa" w:w="1080"/>
          </w:tcPr>
          <w:p>
            <w:r>
              <w:t>56.4</w:t>
            </w:r>
          </w:p>
        </w:tc>
        <w:tc>
          <w:tcPr>
            <w:tcW w:type="dxa" w:w="1080"/>
          </w:tcPr>
          <w:p>
            <w:r>
              <w:t>56.6</w:t>
            </w:r>
          </w:p>
        </w:tc>
        <w:tc>
          <w:tcPr>
            <w:tcW w:type="dxa" w:w="1080"/>
          </w:tcPr>
          <w:p>
            <w:r>
              <w:t>-0.20</w:t>
            </w:r>
          </w:p>
        </w:tc>
        <w:tc>
          <w:tcPr>
            <w:tcW w:type="dxa" w:w="1080"/>
          </w:tcPr>
          <w:p>
            <w:r>
              <w:t>-0.353%</w:t>
            </w:r>
          </w:p>
        </w:tc>
        <w:tc>
          <w:tcPr>
            <w:tcW w:type="dxa" w:w="1080"/>
          </w:tcPr>
          <w:p>
            <w:r>
              <w:t>25,817,944</w:t>
            </w:r>
          </w:p>
        </w:tc>
        <w:tc>
          <w:tcPr>
            <w:tcW w:type="dxa" w:w="1080"/>
          </w:tcPr>
          <w:p>
            <w:r>
              <w:t>1,021,271,015,424</w:t>
            </w:r>
          </w:p>
        </w:tc>
      </w:tr>
      <w:tr>
        <w:tc>
          <w:tcPr>
            <w:tcW w:type="dxa" w:w="1080"/>
          </w:tcPr>
          <w:p>
            <w:r>
              <w:t>Alibaba Group</w:t>
            </w:r>
          </w:p>
        </w:tc>
        <w:tc>
          <w:tcPr>
            <w:tcW w:type="dxa" w:w="1080"/>
          </w:tcPr>
          <w:p>
            <w:r>
              <w:t>2628.HK</w:t>
            </w:r>
          </w:p>
        </w:tc>
        <w:tc>
          <w:tcPr>
            <w:tcW w:type="dxa" w:w="1080"/>
          </w:tcPr>
          <w:p>
            <w:r>
              <w:t>28.12</w:t>
            </w:r>
          </w:p>
        </w:tc>
        <w:tc>
          <w:tcPr>
            <w:tcW w:type="dxa" w:w="1080"/>
          </w:tcPr>
          <w:p>
            <w:r>
              <w:t>28.66</w:t>
            </w:r>
          </w:p>
        </w:tc>
        <w:tc>
          <w:tcPr>
            <w:tcW w:type="dxa" w:w="1080"/>
          </w:tcPr>
          <w:p>
            <w:r>
              <w:t>-0.54</w:t>
            </w:r>
          </w:p>
        </w:tc>
        <w:tc>
          <w:tcPr>
            <w:tcW w:type="dxa" w:w="1080"/>
          </w:tcPr>
          <w:p>
            <w:r>
              <w:t>-1.884%</w:t>
            </w:r>
          </w:p>
        </w:tc>
        <w:tc>
          <w:tcPr>
            <w:tcW w:type="dxa" w:w="1080"/>
          </w:tcPr>
          <w:p>
            <w:r>
              <w:t>50,831,701</w:t>
            </w:r>
          </w:p>
        </w:tc>
        <w:tc>
          <w:tcPr>
            <w:tcW w:type="dxa" w:w="1080"/>
          </w:tcPr>
          <w:p>
            <w:r>
              <w:t>794,803,503,104</w:t>
            </w:r>
          </w:p>
        </w:tc>
      </w:tr>
      <w:tr>
        <w:tc>
          <w:tcPr>
            <w:tcW w:type="dxa" w:w="1080"/>
          </w:tcPr>
          <w:p>
            <w:r>
              <w:t>Meituan</w:t>
            </w:r>
          </w:p>
        </w:tc>
        <w:tc>
          <w:tcPr>
            <w:tcW w:type="dxa" w:w="1080"/>
          </w:tcPr>
          <w:p>
            <w:r>
              <w:t>2800.HK</w:t>
            </w:r>
          </w:p>
        </w:tc>
        <w:tc>
          <w:tcPr>
            <w:tcW w:type="dxa" w:w="1080"/>
          </w:tcPr>
          <w:p>
            <w:r>
              <w:t>26.02</w:t>
            </w:r>
          </w:p>
        </w:tc>
        <w:tc>
          <w:tcPr>
            <w:tcW w:type="dxa" w:w="1080"/>
          </w:tcPr>
          <w:p>
            <w:r>
              <w:t>25.98</w:t>
            </w:r>
          </w:p>
        </w:tc>
        <w:tc>
          <w:tcPr>
            <w:tcW w:type="dxa" w:w="1080"/>
          </w:tcPr>
          <w:p>
            <w:r>
              <w:t>+0.04</w:t>
            </w:r>
          </w:p>
        </w:tc>
        <w:tc>
          <w:tcPr>
            <w:tcW w:type="dxa" w:w="1080"/>
          </w:tcPr>
          <w:p>
            <w:r>
              <w:t>+0.154%</w:t>
            </w:r>
          </w:p>
        </w:tc>
        <w:tc>
          <w:tcPr>
            <w:tcW w:type="dxa" w:w="1080"/>
          </w:tcPr>
          <w:p>
            <w:r>
              <w:t>826,921,923</w:t>
            </w:r>
          </w:p>
        </w:tc>
        <w:tc>
          <w:tcPr>
            <w:tcW w:type="dxa" w:w="1080"/>
          </w:tcPr>
          <w:p>
            <w:r>
              <w:t>N/A</w:t>
            </w:r>
          </w:p>
        </w:tc>
      </w:tr>
      <w:tr>
        <w:tc>
          <w:tcPr>
            <w:tcW w:type="dxa" w:w="1080"/>
          </w:tcPr>
          <w:p>
            <w:r>
              <w:t>WuXi Biologics</w:t>
            </w:r>
          </w:p>
        </w:tc>
        <w:tc>
          <w:tcPr>
            <w:tcW w:type="dxa" w:w="1080"/>
          </w:tcPr>
          <w:p>
            <w:r>
              <w:t>3690.HK</w:t>
            </w:r>
          </w:p>
        </w:tc>
        <w:tc>
          <w:tcPr>
            <w:tcW w:type="dxa" w:w="1080"/>
          </w:tcPr>
          <w:p>
            <w:r>
              <w:t>77.2</w:t>
            </w:r>
          </w:p>
        </w:tc>
        <w:tc>
          <w:tcPr>
            <w:tcW w:type="dxa" w:w="1080"/>
          </w:tcPr>
          <w:p>
            <w:r>
              <w:t>82.7</w:t>
            </w:r>
          </w:p>
        </w:tc>
        <w:tc>
          <w:tcPr>
            <w:tcW w:type="dxa" w:w="1080"/>
          </w:tcPr>
          <w:p>
            <w:r>
              <w:t>-5.50</w:t>
            </w:r>
          </w:p>
        </w:tc>
        <w:tc>
          <w:tcPr>
            <w:tcW w:type="dxa" w:w="1080"/>
          </w:tcPr>
          <w:p>
            <w:r>
              <w:t>-6.651%</w:t>
            </w:r>
          </w:p>
        </w:tc>
        <w:tc>
          <w:tcPr>
            <w:tcW w:type="dxa" w:w="1080"/>
          </w:tcPr>
          <w:p>
            <w:r>
              <w:t>91,016,673</w:t>
            </w:r>
          </w:p>
        </w:tc>
        <w:tc>
          <w:tcPr>
            <w:tcW w:type="dxa" w:w="1080"/>
          </w:tcPr>
          <w:p>
            <w:r>
              <w:t>476,466,118,656</w:t>
            </w:r>
          </w:p>
        </w:tc>
      </w:tr>
      <w:tr>
        <w:tc>
          <w:tcPr>
            <w:tcW w:type="dxa" w:w="1080"/>
          </w:tcPr>
          <w:p>
            <w:r>
              <w:t>Alibaba Group (HK)</w:t>
            </w:r>
          </w:p>
        </w:tc>
        <w:tc>
          <w:tcPr>
            <w:tcW w:type="dxa" w:w="1080"/>
          </w:tcPr>
          <w:p>
            <w:r>
              <w:t>9988.HK</w:t>
            </w:r>
          </w:p>
        </w:tc>
        <w:tc>
          <w:tcPr>
            <w:tcW w:type="dxa" w:w="1080"/>
          </w:tcPr>
          <w:p>
            <w:r>
              <w:t>114.2</w:t>
            </w:r>
          </w:p>
        </w:tc>
        <w:tc>
          <w:tcPr>
            <w:tcW w:type="dxa" w:w="1080"/>
          </w:tcPr>
          <w:p>
            <w:r>
              <w:t>112.5</w:t>
            </w:r>
          </w:p>
        </w:tc>
        <w:tc>
          <w:tcPr>
            <w:tcW w:type="dxa" w:w="1080"/>
          </w:tcPr>
          <w:p>
            <w:r>
              <w:t>+1.70</w:t>
            </w:r>
          </w:p>
        </w:tc>
        <w:tc>
          <w:tcPr>
            <w:tcW w:type="dxa" w:w="1080"/>
          </w:tcPr>
          <w:p>
            <w:r>
              <w:t>+1.511%</w:t>
            </w:r>
          </w:p>
        </w:tc>
        <w:tc>
          <w:tcPr>
            <w:tcW w:type="dxa" w:w="1080"/>
          </w:tcPr>
          <w:p>
            <w:r>
              <w:t>124,296,637</w:t>
            </w:r>
          </w:p>
        </w:tc>
        <w:tc>
          <w:tcPr>
            <w:tcW w:type="dxa" w:w="1080"/>
          </w:tcPr>
          <w:p>
            <w:r>
              <w:t>2,189,783,728,128</w:t>
            </w:r>
          </w:p>
        </w:tc>
      </w:tr>
      <w:tr>
        <w:tc>
          <w:tcPr>
            <w:tcW w:type="dxa" w:w="1080"/>
          </w:tcPr>
          <w:p>
            <w:r>
              <w:t>NetEase</w:t>
            </w:r>
          </w:p>
        </w:tc>
        <w:tc>
          <w:tcPr>
            <w:tcW w:type="dxa" w:w="1080"/>
          </w:tcPr>
          <w:p>
            <w:r>
              <w:t>9618.HK</w:t>
            </w:r>
          </w:p>
        </w:tc>
        <w:tc>
          <w:tcPr>
            <w:tcW w:type="dxa" w:w="1080"/>
          </w:tcPr>
          <w:p>
            <w:r>
              <w:t>113.0</w:t>
            </w:r>
          </w:p>
        </w:tc>
        <w:tc>
          <w:tcPr>
            <w:tcW w:type="dxa" w:w="1080"/>
          </w:tcPr>
          <w:p>
            <w:r>
              <w:t>113.3</w:t>
            </w:r>
          </w:p>
        </w:tc>
        <w:tc>
          <w:tcPr>
            <w:tcW w:type="dxa" w:w="1080"/>
          </w:tcPr>
          <w:p>
            <w:r>
              <w:t>-0.30</w:t>
            </w:r>
          </w:p>
        </w:tc>
        <w:tc>
          <w:tcPr>
            <w:tcW w:type="dxa" w:w="1080"/>
          </w:tcPr>
          <w:p>
            <w:r>
              <w:t>-0.265%</w:t>
            </w:r>
          </w:p>
        </w:tc>
        <w:tc>
          <w:tcPr>
            <w:tcW w:type="dxa" w:w="1080"/>
          </w:tcPr>
          <w:p>
            <w:r>
              <w:t>5,219,367</w:t>
            </w:r>
          </w:p>
        </w:tc>
        <w:tc>
          <w:tcPr>
            <w:tcW w:type="dxa" w:w="1080"/>
          </w:tcPr>
          <w:p>
            <w:r>
              <w:t>308,675,477,504</w:t>
            </w:r>
          </w:p>
        </w:tc>
      </w:tr>
    </w:tbl>
    <w:p/>
    <w:p>
      <w:pPr>
        <w:spacing w:before="240" w:after="240"/>
      </w:pPr>
      <w:r>
        <w:rPr>
          <w:color w:val="999999"/>
        </w:rPr>
        <w:t>──────────────────────────────────────────────────</w:t>
      </w:r>
    </w:p>
    <w:p>
      <w:r>
        <w:rPr>
          <w:rFonts w:ascii="Calibri" w:hAnsi="Calibri"/>
          <w:i/>
          <w:sz w:val="22"/>
        </w:rPr>
        <w:t>Report generated by Hermes Agent (agent3) using Yahoo Finance data. For real-time AASTOCKS data, please visit https://www.aastocks.com.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Calibri" w:hAnsi="Calibri"/>
      <w:b/>
      <w:bCs/>
      <w:color w:val="003366"/>
      <w:sz w:val="4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libri" w:hAnsi="Calibri"/>
      <w:b/>
      <w:bCs/>
      <w:color w:val="003366"/>
      <w:sz w:val="3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Calibri" w:hAnsi="Calibri"/>
      <w:b/>
      <w:bCs/>
      <w:color w:val="003366"/>
      <w:sz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