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03366"/>
        </w:rPr>
        <w:t>港股與美股市場走勢分析報告</w:t>
      </w:r>
    </w:p>
    <w:p>
      <w:pPr>
        <w:pStyle w:val="Heading2"/>
      </w:pPr>
      <w:r>
        <w:rPr>
          <w:color w:val="003366"/>
        </w:rPr>
        <w:t>基於過去 24 小時全球新聞影響的預測分析</w:t>
      </w:r>
    </w:p>
    <w:p>
      <w:r>
        <w:rPr>
          <w:b/>
        </w:rPr>
        <w:t>報告日期</w:t>
      </w:r>
      <w:r>
        <w:t>:</w:t>
      </w:r>
      <w:r>
        <w:t xml:space="preserve"> </w:t>
      </w:r>
      <w:r>
        <w:t>2</w:t>
      </w:r>
      <w:r>
        <w:t>0</w:t>
      </w:r>
      <w:r>
        <w:t>2</w:t>
      </w:r>
      <w:r>
        <w:t>6</w:t>
      </w:r>
      <w:r>
        <w:t xml:space="preserve"> </w:t>
      </w:r>
      <w:r>
        <w:t>年</w:t>
      </w:r>
      <w:r>
        <w:t xml:space="preserve"> </w:t>
      </w:r>
      <w:r>
        <w:t>8</w:t>
      </w:r>
      <w:r>
        <w:t xml:space="preserve"> </w:t>
      </w:r>
      <w:r>
        <w:t>月</w:t>
      </w:r>
      <w:r>
        <w:t xml:space="preserve"> </w:t>
      </w:r>
      <w:r>
        <w:t>3</w:t>
      </w:r>
      <w:r>
        <w:t>1</w:t>
      </w:r>
      <w:r>
        <w:t xml:space="preserve"> </w:t>
      </w:r>
      <w:r>
        <w:t>日</w:t>
      </w:r>
      <w:r>
        <w:t xml:space="preserve"> </w:t>
      </w:r>
      <w:r>
        <w:t xml:space="preserve"> </w:t>
      </w:r>
      <w:r>
        <w:br/>
      </w:r>
      <w:r>
        <w:rPr>
          <w:b/>
        </w:rPr>
        <w:t>分析時段</w:t>
      </w:r>
      <w:r>
        <w:t>:</w:t>
      </w:r>
      <w:r>
        <w:t xml:space="preserve"> </w:t>
      </w:r>
      <w:r>
        <w:t>2</w:t>
      </w:r>
      <w:r>
        <w:t>0</w:t>
      </w:r>
      <w:r>
        <w:t>2</w:t>
      </w:r>
      <w:r>
        <w:t>6</w:t>
      </w:r>
      <w:r>
        <w:t xml:space="preserve"> </w:t>
      </w:r>
      <w:r>
        <w:t>年</w:t>
      </w:r>
      <w:r>
        <w:t xml:space="preserve"> </w:t>
      </w:r>
      <w:r>
        <w:t>8</w:t>
      </w:r>
      <w:r>
        <w:t xml:space="preserve"> </w:t>
      </w:r>
      <w:r>
        <w:t>月</w:t>
      </w:r>
      <w:r>
        <w:t xml:space="preserve"> </w:t>
      </w:r>
      <w:r>
        <w:t>3</w:t>
      </w:r>
      <w:r>
        <w:t>0</w:t>
      </w:r>
      <w:r>
        <w:t xml:space="preserve"> </w:t>
      </w:r>
      <w:r>
        <w:t>日</w:t>
      </w:r>
      <w:r>
        <w:t xml:space="preserve"> </w:t>
      </w:r>
      <w:r>
        <w:t>0</w:t>
      </w:r>
      <w:r>
        <w:t>0</w:t>
      </w:r>
      <w:r>
        <w:t>:</w:t>
      </w:r>
      <w:r>
        <w:t>0</w:t>
      </w:r>
      <w:r>
        <w:t>0</w:t>
      </w:r>
      <w:r>
        <w:t xml:space="preserve"> </w:t>
      </w:r>
      <w:r>
        <w:t>-</w:t>
      </w:r>
      <w:r>
        <w:t xml:space="preserve"> </w:t>
      </w:r>
      <w:r>
        <w:t>8</w:t>
      </w:r>
      <w:r>
        <w:t xml:space="preserve"> </w:t>
      </w:r>
      <w:r>
        <w:t>月</w:t>
      </w:r>
      <w:r>
        <w:t xml:space="preserve"> </w:t>
      </w:r>
      <w:r>
        <w:t>3</w:t>
      </w:r>
      <w:r>
        <w:t>1</w:t>
      </w:r>
      <w:r>
        <w:t xml:space="preserve"> </w:t>
      </w:r>
      <w:r>
        <w:t>日</w:t>
      </w:r>
      <w:r>
        <w:t xml:space="preserve"> </w:t>
      </w:r>
      <w:r>
        <w:t>0</w:t>
      </w:r>
      <w:r>
        <w:t>0</w:t>
      </w:r>
      <w:r>
        <w:t>:</w:t>
      </w:r>
      <w:r>
        <w:t>0</w:t>
      </w:r>
      <w:r>
        <w:t>0</w:t>
      </w:r>
      <w:r>
        <w:t xml:space="preserve"> </w:t>
      </w:r>
      <w:r>
        <w:t>(</w:t>
      </w:r>
      <w:r>
        <w:t>U</w:t>
      </w:r>
      <w:r>
        <w:t>T</w:t>
      </w:r>
      <w:r>
        <w:t>C</w:t>
      </w:r>
      <w:r>
        <w:t>)</w:t>
      </w:r>
      <w:r>
        <w:t xml:space="preserve"> </w:t>
      </w:r>
      <w:r>
        <w:t xml:space="preserve"> </w:t>
      </w:r>
      <w:r>
        <w:br/>
      </w:r>
      <w:r>
        <w:rPr>
          <w:b/>
        </w:rPr>
        <w:t>編制</w:t>
      </w:r>
      <w:r>
        <w:t>:</w:t>
      </w:r>
      <w:r>
        <w:t xml:space="preserve"> </w:t>
      </w:r>
      <w:r>
        <w:t>A</w:t>
      </w:r>
      <w:r>
        <w:t>I</w:t>
      </w:r>
      <w:r>
        <w:t xml:space="preserve"> </w:t>
      </w:r>
      <w:r>
        <w:t>分</w:t>
      </w:r>
      <w:r>
        <w:t>析</w:t>
      </w:r>
      <w:r>
        <w:t>系</w:t>
      </w:r>
      <w:r>
        <w:t>統</w:t>
      </w:r>
      <w:r>
        <w:t xml:space="preserve"> </w:t>
      </w:r>
      <w:r>
        <w:t xml:space="preserve"> </w:t>
      </w:r>
      <w:r>
        <w:br/>
      </w:r>
      <w:r>
        <w:rPr>
          <w:b/>
        </w:rPr>
        <w:t>語言</w:t>
      </w:r>
      <w:r>
        <w:t>:</w:t>
      </w:r>
      <w:r>
        <w:t xml:space="preserve"> </w:t>
      </w:r>
      <w:r>
        <w:t>繁</w:t>
      </w:r>
      <w:r>
        <w:t>體</w:t>
      </w:r>
      <w:r>
        <w:t>中</w:t>
      </w:r>
      <w:r>
        <w:t>文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目錄</w:t>
      </w:r>
    </w:p>
    <w:p>
      <w:pPr>
        <w:pStyle w:val="ListNumber"/>
      </w:pPr>
      <w:r>
        <w:t>執行摘要</w:t>
      </w:r>
    </w:p>
    <w:p>
      <w:pPr>
        <w:pStyle w:val="ListNumber"/>
      </w:pPr>
      <w:r>
        <w:t>關鍵市場推動事件 (過去 24 小時)</w:t>
      </w:r>
    </w:p>
    <w:p>
      <w:pPr>
        <w:pStyle w:val="ListNumber"/>
      </w:pPr>
      <w:r>
        <w:t>港股市場深度分析</w:t>
      </w:r>
    </w:p>
    <w:p>
      <w:pPr>
        <w:pStyle w:val="ListNumber"/>
      </w:pPr>
      <w:r>
        <w:t>美股市場深度分析</w:t>
      </w:r>
    </w:p>
    <w:p>
      <w:pPr>
        <w:pStyle w:val="ListNumber"/>
      </w:pPr>
      <w:r>
        <w:t>宏觀與地緣政治因素</w:t>
      </w:r>
    </w:p>
    <w:p>
      <w:pPr>
        <w:pStyle w:val="ListNumber"/>
      </w:pPr>
      <w:r>
        <w:t>技術分析指標</w:t>
      </w:r>
    </w:p>
    <w:p>
      <w:pPr>
        <w:pStyle w:val="ListNumber"/>
      </w:pPr>
      <w:r>
        <w:t>未來 1-5 個交易日走勢預測</w:t>
      </w:r>
    </w:p>
    <w:p>
      <w:pPr>
        <w:pStyle w:val="ListNumber"/>
      </w:pPr>
      <w:r>
        <w:t>風險因素與注意事項</w:t>
      </w:r>
    </w:p>
    <w:p>
      <w:pPr>
        <w:pStyle w:val="ListNumber"/>
      </w:pPr>
      <w:r>
        <w:t>附錄：關鍵數據表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執行摘要</w:t>
      </w:r>
    </w:p>
    <w:p>
      <w:pPr>
        <w:pStyle w:val="Heading3"/>
      </w:pPr>
      <w:r>
        <w:rPr>
          <w:color w:val="003366"/>
        </w:rPr>
        <w:t>核心結論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市場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短期傾向 (1-3 日)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中期傾向 (1-2 週)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信心度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關鍵催化劑</w:t>
            </w:r>
          </w:p>
        </w:tc>
      </w:tr>
      <w:tr>
        <w:tc>
          <w:tcPr>
            <w:tcW w:type="dxa" w:w="1728"/>
          </w:tcPr>
          <w:p>
            <w:r>
              <w:t>**恒生指數 (HSI)**</w:t>
            </w:r>
          </w:p>
        </w:tc>
        <w:tc>
          <w:tcPr>
            <w:tcW w:type="dxa" w:w="1728"/>
          </w:tcPr>
          <w:p>
            <w:r>
              <w:t>🟡 震盪偏多</w:t>
            </w:r>
          </w:p>
        </w:tc>
        <w:tc>
          <w:tcPr>
            <w:tcW w:type="dxa" w:w="1728"/>
          </w:tcPr>
          <w:p>
            <w:r>
              <w:t>🟢 輕度上漲</w:t>
            </w:r>
          </w:p>
        </w:tc>
        <w:tc>
          <w:tcPr>
            <w:tcW w:type="dxa" w:w="1728"/>
          </w:tcPr>
          <w:p>
            <w:r>
              <w:t>65%</w:t>
            </w:r>
          </w:p>
        </w:tc>
        <w:tc>
          <w:tcPr>
            <w:tcW w:type="dxa" w:w="1728"/>
          </w:tcPr>
          <w:p>
            <w:r>
              <w:t>美團財報超預期、北向資金流入科技股、人民幣匯率企穩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**S&amp;P 500**</w:t>
            </w:r>
          </w:p>
        </w:tc>
        <w:tc>
          <w:tcPr>
            <w:tcW w:type="dxa" w:w="1728"/>
            <w:shd w:fill="F9F9F9" w:val="clear"/>
          </w:tcPr>
          <w:p>
            <w:r>
              <w:t>🔴 短期回調</w:t>
            </w:r>
          </w:p>
        </w:tc>
        <w:tc>
          <w:tcPr>
            <w:tcW w:type="dxa" w:w="1728"/>
            <w:shd w:fill="F9F9F9" w:val="clear"/>
          </w:tcPr>
          <w:p>
            <w:r>
              <w:t>🟡 橫盤整理</w:t>
            </w:r>
          </w:p>
        </w:tc>
        <w:tc>
          <w:tcPr>
            <w:tcW w:type="dxa" w:w="1728"/>
            <w:shd w:fill="F9F9F9" w:val="clear"/>
          </w:tcPr>
          <w:p>
            <w:r>
              <w:t>70%</w:t>
            </w:r>
          </w:p>
        </w:tc>
        <w:tc>
          <w:tcPr>
            <w:tcW w:type="dxa" w:w="1728"/>
            <w:shd w:fill="F9F9F9" w:val="clear"/>
          </w:tcPr>
          <w:p>
            <w:r>
              <w:t>地緣政治風險 (美伊衝突)、就業數據前夕、期權槓桿創新高</w:t>
            </w:r>
          </w:p>
        </w:tc>
      </w:tr>
      <w:tr>
        <w:tc>
          <w:tcPr>
            <w:tcW w:type="dxa" w:w="1728"/>
          </w:tcPr>
          <w:p>
            <w:r>
              <w:t>**納斯達克 100**</w:t>
            </w:r>
          </w:p>
        </w:tc>
        <w:tc>
          <w:tcPr>
            <w:tcW w:type="dxa" w:w="1728"/>
          </w:tcPr>
          <w:p>
            <w:r>
              <w:t>🟡 震盪</w:t>
            </w:r>
          </w:p>
        </w:tc>
        <w:tc>
          <w:tcPr>
            <w:tcW w:type="dxa" w:w="1728"/>
          </w:tcPr>
          <w:p>
            <w:r>
              <w:t>🟢 科技基本面支撐</w:t>
            </w:r>
          </w:p>
        </w:tc>
        <w:tc>
          <w:tcPr>
            <w:tcW w:type="dxa" w:w="1728"/>
          </w:tcPr>
          <w:p>
            <w:r>
              <w:t>65%</w:t>
            </w:r>
          </w:p>
        </w:tc>
        <w:tc>
          <w:tcPr>
            <w:tcW w:type="dxa" w:w="1728"/>
          </w:tcPr>
          <w:p>
            <w:r>
              <w:t>NVIDIA 勢頭延續、Broadcom 財報即將公布、AI 資本開支持續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**道瓊斯指數**</w:t>
            </w:r>
          </w:p>
        </w:tc>
        <w:tc>
          <w:tcPr>
            <w:tcW w:type="dxa" w:w="1728"/>
            <w:shd w:fill="F9F9F9" w:val="clear"/>
          </w:tcPr>
          <w:p>
            <w:r>
              <w:t>🔴 下行壓力</w:t>
            </w:r>
          </w:p>
        </w:tc>
        <w:tc>
          <w:tcPr>
            <w:tcW w:type="dxa" w:w="1728"/>
            <w:shd w:fill="F9F9F9" w:val="clear"/>
          </w:tcPr>
          <w:p>
            <w:r>
              <w:t>🟡 防禦性板塊相對強勢</w:t>
            </w:r>
          </w:p>
        </w:tc>
        <w:tc>
          <w:tcPr>
            <w:tcW w:type="dxa" w:w="1728"/>
            <w:shd w:fill="F9F9F9" w:val="clear"/>
          </w:tcPr>
          <w:p>
            <w:r>
              <w:t>60%</w:t>
            </w:r>
          </w:p>
        </w:tc>
        <w:tc>
          <w:tcPr>
            <w:tcW w:type="dxa" w:w="1728"/>
            <w:shd w:fill="F9F9F9" w:val="clear"/>
          </w:tcPr>
          <w:p>
            <w:r>
              <w:t>能源股受油價提振、但工業板塊受地緣政治拖累</w:t>
            </w:r>
          </w:p>
        </w:tc>
      </w:tr>
    </w:tbl>
    <w:p/>
    <w:p>
      <w:pPr>
        <w:pStyle w:val="Heading3"/>
      </w:pPr>
      <w:r>
        <w:rPr>
          <w:color w:val="003366"/>
        </w:rPr>
        <w:t>關鍵發現</w:t>
      </w:r>
    </w:p>
    <w:p>
      <w:pPr>
        <w:pStyle w:val="ListNumber"/>
      </w:pPr>
      <w:r>
        <w:rPr>
          <w:b/>
        </w:rPr>
        <w:t>港股優於美股</w:t>
      </w:r>
      <w:r>
        <w:t>:</w:t>
      </w:r>
      <w:r>
        <w:t xml:space="preserve"> </w:t>
      </w:r>
      <w:r>
        <w:t>港</w:t>
      </w:r>
      <w:r>
        <w:t>股</w:t>
      </w:r>
      <w:r>
        <w:t>在</w:t>
      </w:r>
      <w:r>
        <w:t>基</w:t>
      </w:r>
      <w:r>
        <w:t>本</w:t>
      </w:r>
      <w:r>
        <w:t>面</w:t>
      </w:r>
      <w:r>
        <w:t>改</w:t>
      </w:r>
      <w:r>
        <w:t>善</w:t>
      </w:r>
      <w:r>
        <w:t xml:space="preserve"> </w:t>
      </w:r>
      <w:r>
        <w:t>(</w:t>
      </w:r>
      <w:r>
        <w:t>美</w:t>
      </w:r>
      <w:r>
        <w:t>團</w:t>
      </w:r>
      <w:r>
        <w:t>扭</w:t>
      </w:r>
      <w:r>
        <w:t>虧</w:t>
      </w:r>
      <w:r>
        <w:t>為</w:t>
      </w:r>
      <w:r>
        <w:t>盈</w:t>
      </w:r>
      <w:r>
        <w:t>、</w:t>
      </w:r>
      <w:r>
        <w:t>騰</w:t>
      </w:r>
      <w:r>
        <w:t>訊</w:t>
      </w:r>
      <w:r>
        <w:t>回</w:t>
      </w:r>
      <w:r>
        <w:t>購</w:t>
      </w:r>
      <w:r>
        <w:t>)</w:t>
      </w:r>
      <w:r>
        <w:t xml:space="preserve"> </w:t>
      </w:r>
      <w:r>
        <w:t>和</w:t>
      </w:r>
      <w:r>
        <w:t>資</w:t>
      </w:r>
      <w:r>
        <w:t>金</w:t>
      </w:r>
      <w:r>
        <w:t>面</w:t>
      </w:r>
      <w:r>
        <w:t>支</w:t>
      </w:r>
      <w:r>
        <w:t>撐</w:t>
      </w:r>
      <w:r>
        <w:t xml:space="preserve"> </w:t>
      </w:r>
      <w:r>
        <w:t>(</w:t>
      </w:r>
      <w:r>
        <w:t>北</w:t>
      </w:r>
      <w:r>
        <w:t>向</w:t>
      </w:r>
      <w:r>
        <w:t>資</w:t>
      </w:r>
      <w:r>
        <w:t>金</w:t>
      </w:r>
      <w:r>
        <w:t>流</w:t>
      </w:r>
      <w:r>
        <w:t>入</w:t>
      </w:r>
      <w:r>
        <w:t>科</w:t>
      </w:r>
      <w:r>
        <w:t>技</w:t>
      </w:r>
      <w:r>
        <w:t>成</w:t>
      </w:r>
      <w:r>
        <w:t>長</w:t>
      </w:r>
      <w:r>
        <w:t>股</w:t>
      </w:r>
      <w:r>
        <w:t>)</w:t>
      </w:r>
      <w:r>
        <w:t xml:space="preserve"> </w:t>
      </w:r>
      <w:r>
        <w:t>下</w:t>
      </w:r>
      <w:r>
        <w:t>顯</w:t>
      </w:r>
      <w:r>
        <w:t>示</w:t>
      </w:r>
      <w:r>
        <w:t>相</w:t>
      </w:r>
      <w:r>
        <w:t>對</w:t>
      </w:r>
      <w:r>
        <w:t>強</w:t>
      </w:r>
      <w:r>
        <w:t>勢</w:t>
      </w:r>
    </w:p>
    <w:p>
      <w:pPr>
        <w:pStyle w:val="ListNumber"/>
      </w:pPr>
      <w:r>
        <w:rPr>
          <w:b/>
        </w:rPr>
        <w:t>美股面臨多重逆風</w:t>
      </w:r>
      <w:r>
        <w:t>:</w:t>
      </w:r>
      <w:r>
        <w:t xml:space="preserve"> </w:t>
      </w:r>
      <w:r>
        <w:t>地</w:t>
      </w:r>
      <w:r>
        <w:t>緣</w:t>
      </w:r>
      <w:r>
        <w:t>政</w:t>
      </w:r>
      <w:r>
        <w:t>治</w:t>
      </w:r>
      <w:r>
        <w:t>突</w:t>
      </w:r>
      <w:r>
        <w:t>發</w:t>
      </w:r>
      <w:r>
        <w:t xml:space="preserve"> </w:t>
      </w:r>
      <w:r>
        <w:t>(</w:t>
      </w:r>
      <w:r>
        <w:t>美</w:t>
      </w:r>
      <w:r>
        <w:t>軍</w:t>
      </w:r>
      <w:r>
        <w:t>襲</w:t>
      </w:r>
      <w:r>
        <w:t>擊</w:t>
      </w:r>
      <w:r>
        <w:t>伊</w:t>
      </w:r>
      <w:r>
        <w:t>朗</w:t>
      </w:r>
      <w:r>
        <w:t>)</w:t>
      </w:r>
      <w:r>
        <w:t>、</w:t>
      </w:r>
      <w:r>
        <w:t>油</w:t>
      </w:r>
      <w:r>
        <w:t>價</w:t>
      </w:r>
      <w:r>
        <w:t>反</w:t>
      </w:r>
      <w:r>
        <w:t>彈</w:t>
      </w:r>
      <w:r>
        <w:t>推</w:t>
      </w:r>
      <w:r>
        <w:t>升</w:t>
      </w:r>
      <w:r>
        <w:t>通</w:t>
      </w:r>
      <w:r>
        <w:t>膨</w:t>
      </w:r>
      <w:r>
        <w:t>預</w:t>
      </w:r>
      <w:r>
        <w:t>期</w:t>
      </w:r>
      <w:r>
        <w:t>、</w:t>
      </w:r>
      <w:r>
        <w:t>期</w:t>
      </w:r>
      <w:r>
        <w:t>權</w:t>
      </w:r>
      <w:r>
        <w:t>槓</w:t>
      </w:r>
      <w:r>
        <w:t>桿</w:t>
      </w:r>
      <w:r>
        <w:t>與</w:t>
      </w:r>
      <w:r>
        <w:t>保</w:t>
      </w:r>
      <w:r>
        <w:t>證</w:t>
      </w:r>
      <w:r>
        <w:t>金</w:t>
      </w:r>
      <w:r>
        <w:t>債</w:t>
      </w:r>
      <w:r>
        <w:t>務</w:t>
      </w:r>
      <w:r>
        <w:t>創</w:t>
      </w:r>
      <w:r>
        <w:t>歷</w:t>
      </w:r>
      <w:r>
        <w:t>史</w:t>
      </w:r>
      <w:r>
        <w:t>新</w:t>
      </w:r>
      <w:r>
        <w:t>高</w:t>
      </w:r>
      <w:r>
        <w:t xml:space="preserve"> </w:t>
      </w:r>
      <w:r>
        <w:t>(</w:t>
      </w:r>
      <w:r>
        <w:t>類</w:t>
      </w:r>
      <w:r>
        <w:t>比</w:t>
      </w:r>
      <w:r>
        <w:t xml:space="preserve"> </w:t>
      </w:r>
      <w:r>
        <w:t>1</w:t>
      </w:r>
      <w:r>
        <w:t>9</w:t>
      </w:r>
      <w:r>
        <w:t>0</w:t>
      </w:r>
      <w:r>
        <w:t>7</w:t>
      </w:r>
      <w:r>
        <w:t xml:space="preserve"> </w:t>
      </w:r>
      <w:r>
        <w:t>年</w:t>
      </w:r>
      <w:r>
        <w:t>崩</w:t>
      </w:r>
      <w:r>
        <w:t>盤</w:t>
      </w:r>
      <w:r>
        <w:t>信</w:t>
      </w:r>
      <w:r>
        <w:t>號</w:t>
      </w:r>
      <w:r>
        <w:t>)</w:t>
      </w:r>
    </w:p>
    <w:p>
      <w:pPr>
        <w:pStyle w:val="ListNumber"/>
      </w:pPr>
      <w:r>
        <w:rPr>
          <w:b/>
        </w:rPr>
        <w:t>科技板塊分化</w:t>
      </w:r>
      <w:r>
        <w:t>:</w:t>
      </w:r>
      <w:r>
        <w:t xml:space="preserve"> </w:t>
      </w:r>
      <w:r>
        <w:t>A</w:t>
      </w:r>
      <w:r>
        <w:t>I</w:t>
      </w:r>
      <w:r>
        <w:t xml:space="preserve"> </w:t>
      </w:r>
      <w:r>
        <w:t>產</w:t>
      </w:r>
      <w:r>
        <w:t>業</w:t>
      </w:r>
      <w:r>
        <w:t>鏈</w:t>
      </w:r>
      <w:r>
        <w:t xml:space="preserve"> </w:t>
      </w:r>
      <w:r>
        <w:t>(</w:t>
      </w:r>
      <w:r>
        <w:t>輝</w:t>
      </w:r>
      <w:r>
        <w:t>達</w:t>
      </w:r>
      <w:r>
        <w:t>、</w:t>
      </w:r>
      <w:r>
        <w:t>博</w:t>
      </w:r>
      <w:r>
        <w:t>通</w:t>
      </w:r>
      <w:r>
        <w:t>、</w:t>
      </w:r>
      <w:r>
        <w:t>半</w:t>
      </w:r>
      <w:r>
        <w:t>導</w:t>
      </w:r>
      <w:r>
        <w:t>體</w:t>
      </w:r>
      <w:r>
        <w:t>設</w:t>
      </w:r>
      <w:r>
        <w:t>備</w:t>
      </w:r>
      <w:r>
        <w:t>)</w:t>
      </w:r>
      <w:r>
        <w:t xml:space="preserve"> </w:t>
      </w:r>
      <w:r>
        <w:t>維</w:t>
      </w:r>
      <w:r>
        <w:t>持</w:t>
      </w:r>
      <w:r>
        <w:t>強</w:t>
      </w:r>
      <w:r>
        <w:t>勢</w:t>
      </w:r>
      <w:r>
        <w:t>，</w:t>
      </w:r>
      <w:r>
        <w:t>但</w:t>
      </w:r>
      <w:r>
        <w:t>大</w:t>
      </w:r>
      <w:r>
        <w:t>型</w:t>
      </w:r>
      <w:r>
        <w:t>科</w:t>
      </w:r>
      <w:r>
        <w:t>技</w:t>
      </w:r>
      <w:r>
        <w:t>股</w:t>
      </w:r>
      <w:r>
        <w:t xml:space="preserve"> </w:t>
      </w:r>
      <w:r>
        <w:t>(</w:t>
      </w:r>
      <w:r>
        <w:t>蘋</w:t>
      </w:r>
      <w:r>
        <w:t>果</w:t>
      </w:r>
      <w:r>
        <w:t>、</w:t>
      </w:r>
      <w:r>
        <w:t>特</w:t>
      </w:r>
      <w:r>
        <w:t>斯</w:t>
      </w:r>
      <w:r>
        <w:t>拉</w:t>
      </w:r>
      <w:r>
        <w:t>)</w:t>
      </w:r>
      <w:r>
        <w:t xml:space="preserve"> </w:t>
      </w:r>
      <w:r>
        <w:t>面</w:t>
      </w:r>
      <w:r>
        <w:t>臨</w:t>
      </w:r>
      <w:r>
        <w:t>獲</w:t>
      </w:r>
      <w:r>
        <w:t>利</w:t>
      </w:r>
      <w:r>
        <w:t>了</w:t>
      </w:r>
      <w:r>
        <w:t>結</w:t>
      </w:r>
      <w:r>
        <w:t>壓</w:t>
      </w:r>
      <w:r>
        <w:t>力</w:t>
      </w:r>
    </w:p>
    <w:p>
      <w:pPr>
        <w:pStyle w:val="ListNumber"/>
      </w:pPr>
      <w:r>
        <w:rPr>
          <w:b/>
        </w:rPr>
        <w:t>貨幣政策不確定性</w:t>
      </w:r>
      <w:r>
        <w:t>:</w:t>
      </w:r>
      <w:r>
        <w:t xml:space="preserve"> </w:t>
      </w:r>
      <w:r>
        <w:t>貝</w:t>
      </w:r>
      <w:r>
        <w:t>森</w:t>
      </w:r>
      <w:r>
        <w:t>特</w:t>
      </w:r>
      <w:r>
        <w:t>財</w:t>
      </w:r>
      <w:r>
        <w:t>長</w:t>
      </w:r>
      <w:r>
        <w:t>「</w:t>
      </w:r>
      <w:r>
        <w:t>廣</w:t>
      </w:r>
      <w:r>
        <w:t>場</w:t>
      </w:r>
      <w:r>
        <w:t>協</w:t>
      </w:r>
      <w:r>
        <w:t>議</w:t>
      </w:r>
      <w:r>
        <w:t xml:space="preserve"> </w:t>
      </w:r>
      <w:r>
        <w:t>2</w:t>
      </w:r>
      <w:r>
        <w:t>.</w:t>
      </w:r>
      <w:r>
        <w:t>0</w:t>
      </w:r>
      <w:r>
        <w:t>」</w:t>
      </w:r>
      <w:r>
        <w:t>式</w:t>
      </w:r>
      <w:r>
        <w:t>干</w:t>
      </w:r>
      <w:r>
        <w:t>預</w:t>
      </w:r>
      <w:r>
        <w:t>傳</w:t>
      </w:r>
      <w:r>
        <w:t>聞</w:t>
      </w:r>
      <w:r>
        <w:t>、</w:t>
      </w:r>
      <w:r>
        <w:t>美</w:t>
      </w:r>
      <w:r>
        <w:t>元</w:t>
      </w:r>
      <w:r>
        <w:t>指</w:t>
      </w:r>
      <w:r>
        <w:t>數</w:t>
      </w:r>
      <w:r>
        <w:t>波</w:t>
      </w:r>
      <w:r>
        <w:t>動</w:t>
      </w:r>
      <w:r>
        <w:t>、</w:t>
      </w:r>
      <w:r>
        <w:t>人</w:t>
      </w:r>
      <w:r>
        <w:t>民</w:t>
      </w:r>
      <w:r>
        <w:t>幣</w:t>
      </w:r>
      <w:r>
        <w:t>匯</w:t>
      </w:r>
      <w:r>
        <w:t>率</w:t>
      </w:r>
      <w:r>
        <w:t>成</w:t>
      </w:r>
      <w:r>
        <w:t>為</w:t>
      </w:r>
      <w:r>
        <w:t>關</w:t>
      </w:r>
      <w:r>
        <w:t>鍵</w:t>
      </w:r>
      <w:r>
        <w:t>變</w:t>
      </w:r>
      <w:r>
        <w:t>數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關鍵市場推動事件 (過去 24 小時)</w:t>
      </w:r>
    </w:p>
    <w:p>
      <w:pPr>
        <w:pStyle w:val="Heading3"/>
      </w:pPr>
      <w:r>
        <w:rPr>
          <w:color w:val="003366"/>
        </w:rPr>
        <w:t>🔴 高影響力事件 (紅色警示)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時間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影響市場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影響方向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說明</w:t>
            </w:r>
          </w:p>
        </w:tc>
      </w:tr>
      <w:tr>
        <w:tc>
          <w:tcPr>
            <w:tcW w:type="dxa" w:w="1728"/>
          </w:tcPr>
          <w:p>
            <w:r>
              <w:t>**美軍襲擊伊朗**</w:t>
            </w:r>
          </w:p>
        </w:tc>
        <w:tc>
          <w:tcPr>
            <w:tcW w:type="dxa" w:w="1728"/>
          </w:tcPr>
          <w:p>
            <w:r>
              <w:t>8/31 00:34 UTC</w:t>
            </w:r>
          </w:p>
        </w:tc>
        <w:tc>
          <w:tcPr>
            <w:tcW w:type="dxa" w:w="1728"/>
          </w:tcPr>
          <w:p>
            <w:r>
              <w:t>全球股市、原油、避險資產</w:t>
            </w:r>
          </w:p>
        </w:tc>
        <w:tc>
          <w:tcPr>
            <w:tcW w:type="dxa" w:w="1728"/>
          </w:tcPr>
          <w:p>
            <w:r>
              <w:t>🔴 利空股市/🟢 利多油價/黃金</w:t>
            </w:r>
          </w:p>
        </w:tc>
        <w:tc>
          <w:tcPr>
            <w:tcW w:type="dxa" w:w="1728"/>
          </w:tcPr>
          <w:p>
            <w:r>
              <w:t>道瓊斯期貨下跌、油價反彈，地緣政治風險溢價上升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**五角大樓入股委內瑞拉石油 (35%)**</w:t>
            </w:r>
          </w:p>
        </w:tc>
        <w:tc>
          <w:tcPr>
            <w:tcW w:type="dxa" w:w="1728"/>
            <w:shd w:fill="F9F9F9" w:val="clear"/>
          </w:tcPr>
          <w:p>
            <w:r>
              <w:t>8/30 03:50 UTC</w:t>
            </w:r>
          </w:p>
        </w:tc>
        <w:tc>
          <w:tcPr>
            <w:tcW w:type="dxa" w:w="1728"/>
            <w:shd w:fill="F9F9F9" w:val="clear"/>
          </w:tcPr>
          <w:p>
            <w:r>
              <w:t>能源板塊、地緣政治</w:t>
            </w:r>
          </w:p>
        </w:tc>
        <w:tc>
          <w:tcPr>
            <w:tcW w:type="dxa" w:w="1728"/>
            <w:shd w:fill="F9F9F9" w:val="clear"/>
          </w:tcPr>
          <w:p>
            <w:r>
              <w:t>🟡 中性偏多油價</w:t>
            </w:r>
          </w:p>
        </w:tc>
        <w:tc>
          <w:tcPr>
            <w:tcW w:type="dxa" w:w="1728"/>
            <w:shd w:fill="F9F9F9" w:val="clear"/>
          </w:tcPr>
          <w:p>
            <w:r>
              <w:t>非典型政府介入能源市場，長期供應端影響未明</w:t>
            </w:r>
          </w:p>
        </w:tc>
      </w:tr>
      <w:tr>
        <w:tc>
          <w:tcPr>
            <w:tcW w:type="dxa" w:w="1728"/>
          </w:tcPr>
          <w:p>
            <w:r>
              <w:t>**特朗普稱委內瑞拉石油將填補戰略儲備**</w:t>
            </w:r>
          </w:p>
        </w:tc>
        <w:tc>
          <w:tcPr>
            <w:tcW w:type="dxa" w:w="1728"/>
          </w:tcPr>
          <w:p>
            <w:r>
              <w:t>8/30 16:21 UTC</w:t>
            </w:r>
          </w:p>
        </w:tc>
        <w:tc>
          <w:tcPr>
            <w:tcW w:type="dxa" w:w="1728"/>
          </w:tcPr>
          <w:p>
            <w:r>
              <w:t>能源、美元</w:t>
            </w:r>
          </w:p>
        </w:tc>
        <w:tc>
          <w:tcPr>
            <w:tcW w:type="dxa" w:w="1728"/>
          </w:tcPr>
          <w:p>
            <w:r>
              <w:t>🟡 不確定性高</w:t>
            </w:r>
          </w:p>
        </w:tc>
        <w:tc>
          <w:tcPr>
            <w:tcW w:type="dxa" w:w="1728"/>
          </w:tcPr>
          <w:p>
            <w:r>
              <w:t>執行困難大，市場質疑可行性</w:t>
            </w:r>
          </w:p>
        </w:tc>
      </w:tr>
    </w:tbl>
    <w:p/>
    <w:p>
      <w:pPr>
        <w:pStyle w:val="Heading3"/>
      </w:pPr>
      <w:r>
        <w:rPr>
          <w:color w:val="003366"/>
        </w:rPr>
        <w:t>🟡 中影響力事件 (黃色關注)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時間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影響市場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影響方向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說明</w:t>
            </w:r>
          </w:p>
        </w:tc>
      </w:tr>
      <w:tr>
        <w:tc>
          <w:tcPr>
            <w:tcW w:type="dxa" w:w="1728"/>
          </w:tcPr>
          <w:p>
            <w:r>
              <w:t>**美團 Q2 經調整盈利 25.24 億元 (YoY +69%)**</w:t>
            </w:r>
          </w:p>
        </w:tc>
        <w:tc>
          <w:tcPr>
            <w:tcW w:type="dxa" w:w="1728"/>
          </w:tcPr>
          <w:p>
            <w:r>
              <w:t>8/28 10:54 UTC</w:t>
            </w:r>
          </w:p>
        </w:tc>
        <w:tc>
          <w:tcPr>
            <w:tcW w:type="dxa" w:w="1728"/>
          </w:tcPr>
          <w:p>
            <w:r>
              <w:t>港股、消費、科技</w:t>
            </w:r>
          </w:p>
        </w:tc>
        <w:tc>
          <w:tcPr>
            <w:tcW w:type="dxa" w:w="1728"/>
          </w:tcPr>
          <w:p>
            <w:r>
              <w:t>🟢 顯著利好</w:t>
            </w:r>
          </w:p>
        </w:tc>
        <w:tc>
          <w:tcPr>
            <w:tcW w:type="dxa" w:w="1728"/>
          </w:tcPr>
          <w:p>
            <w:r>
              <w:t>扭虧為盈、核心本地商業利潤 +52%、新業務虧損收窄、Keeta 海外盈利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**騰訊回購 65.9 萬股 (涉資 3 億元)**</w:t>
            </w:r>
          </w:p>
        </w:tc>
        <w:tc>
          <w:tcPr>
            <w:tcW w:type="dxa" w:w="1728"/>
            <w:shd w:fill="F9F9F9" w:val="clear"/>
          </w:tcPr>
          <w:p>
            <w:r>
              <w:t>8/28 09:56 UTC</w:t>
            </w:r>
          </w:p>
        </w:tc>
        <w:tc>
          <w:tcPr>
            <w:tcW w:type="dxa" w:w="1728"/>
            <w:shd w:fill="F9F9F9" w:val="clear"/>
          </w:tcPr>
          <w:p>
            <w:r>
              <w:t>港股、科技巨頭</w:t>
            </w:r>
          </w:p>
        </w:tc>
        <w:tc>
          <w:tcPr>
            <w:tcW w:type="dxa" w:w="1728"/>
            <w:shd w:fill="F9F9F9" w:val="clear"/>
          </w:tcPr>
          <w:p>
            <w:r>
              <w:t>🟢 利好</w:t>
            </w:r>
          </w:p>
        </w:tc>
        <w:tc>
          <w:tcPr>
            <w:tcW w:type="dxa" w:w="1728"/>
            <w:shd w:fill="F9F9F9" w:val="clear"/>
          </w:tcPr>
          <w:p>
            <w:r>
              <w:t>累計回購 4,279 萬股 (0.47% 股本)，管理層信心信號</w:t>
            </w:r>
          </w:p>
        </w:tc>
      </w:tr>
      <w:tr>
        <w:tc>
          <w:tcPr>
            <w:tcW w:type="dxa" w:w="1728"/>
          </w:tcPr>
          <w:p>
            <w:r>
              <w:t>**Sharpa 完成 45 億人民幣融資 (阿里/騰訊/美團/京東領投)**</w:t>
            </w:r>
          </w:p>
        </w:tc>
        <w:tc>
          <w:tcPr>
            <w:tcW w:type="dxa" w:w="1728"/>
          </w:tcPr>
          <w:p>
            <w:r>
              <w:t>8/28 13:23 UTC</w:t>
            </w:r>
          </w:p>
        </w:tc>
        <w:tc>
          <w:tcPr>
            <w:tcW w:type="dxa" w:w="1728"/>
          </w:tcPr>
          <w:p>
            <w:r>
              <w:t>港股、AI/機器人產業鏈</w:t>
            </w:r>
          </w:p>
        </w:tc>
        <w:tc>
          <w:tcPr>
            <w:tcW w:type="dxa" w:w="1728"/>
          </w:tcPr>
          <w:p>
            <w:r>
              <w:t>🟢 利好產業鏈</w:t>
            </w:r>
          </w:p>
        </w:tc>
        <w:tc>
          <w:tcPr>
            <w:tcW w:type="dxa" w:w="1728"/>
          </w:tcPr>
          <w:p>
            <w:r>
              <w:t>具身智能/通用機器人賽道獲產業資本驗證，估值 220 億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**北向資金淨流入勝宏科技 4.54 億、智譜 3.41 億、長飛 2.96 億**</w:t>
            </w:r>
          </w:p>
        </w:tc>
        <w:tc>
          <w:tcPr>
            <w:tcW w:type="dxa" w:w="1728"/>
            <w:shd w:fill="F9F9F9" w:val="clear"/>
          </w:tcPr>
          <w:p>
            <w:r>
              <w:t>8/28 10:25 UTC</w:t>
            </w:r>
          </w:p>
        </w:tc>
        <w:tc>
          <w:tcPr>
            <w:tcW w:type="dxa" w:w="1728"/>
            <w:shd w:fill="F9F9F9" w:val="clear"/>
          </w:tcPr>
          <w:p>
            <w:r>
              <w:t>港股、科技成長股</w:t>
            </w:r>
          </w:p>
        </w:tc>
        <w:tc>
          <w:tcPr>
            <w:tcW w:type="dxa" w:w="1728"/>
            <w:shd w:fill="F9F9F9" w:val="clear"/>
          </w:tcPr>
          <w:p>
            <w:r>
              <w:t>🟢 利好</w:t>
            </w:r>
          </w:p>
        </w:tc>
        <w:tc>
          <w:tcPr>
            <w:tcW w:type="dxa" w:w="1728"/>
            <w:shd w:fill="F9F9F9" w:val="clear"/>
          </w:tcPr>
          <w:p>
            <w:r>
              <w:t>智能製造、AI 大模型、光通訊獲外資青睞</w:t>
            </w:r>
          </w:p>
        </w:tc>
      </w:tr>
      <w:tr>
        <w:tc>
          <w:tcPr>
            <w:tcW w:type="dxa" w:w="1728"/>
          </w:tcPr>
          <w:p>
            <w:r>
              <w:t>**北向資金淨流出阿里 3.81 億、騰訊 1.44 億、中芯 1.42 億**</w:t>
            </w:r>
          </w:p>
        </w:tc>
        <w:tc>
          <w:tcPr>
            <w:tcW w:type="dxa" w:w="1728"/>
          </w:tcPr>
          <w:p>
            <w:r>
              <w:t>8/28 10:25 UTC</w:t>
            </w:r>
          </w:p>
        </w:tc>
        <w:tc>
          <w:tcPr>
            <w:tcW w:type="dxa" w:w="1728"/>
          </w:tcPr>
          <w:p>
            <w:r>
              <w:t>港股、大型科技股</w:t>
            </w:r>
          </w:p>
        </w:tc>
        <w:tc>
          <w:tcPr>
            <w:tcW w:type="dxa" w:w="1728"/>
          </w:tcPr>
          <w:p>
            <w:r>
              <w:t>🔴 短期利空</w:t>
            </w:r>
          </w:p>
        </w:tc>
        <w:tc>
          <w:tcPr>
            <w:tcW w:type="dxa" w:w="1728"/>
          </w:tcPr>
          <w:p>
            <w:r>
              <w:t>獲利了結或倉位調整，但基本面未變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**歐洲股市收高 (解讀美聯儲主席講話)**</w:t>
            </w:r>
          </w:p>
        </w:tc>
        <w:tc>
          <w:tcPr>
            <w:tcW w:type="dxa" w:w="1728"/>
            <w:shd w:fill="F9F9F9" w:val="clear"/>
          </w:tcPr>
          <w:p>
            <w:r>
              <w:t>8/28 15:58 UTC</w:t>
            </w:r>
          </w:p>
        </w:tc>
        <w:tc>
          <w:tcPr>
            <w:tcW w:type="dxa" w:w="1728"/>
            <w:shd w:fill="F9F9F9" w:val="clear"/>
          </w:tcPr>
          <w:p>
            <w:r>
              <w:t>環球股市</w:t>
            </w:r>
          </w:p>
        </w:tc>
        <w:tc>
          <w:tcPr>
            <w:tcW w:type="dxa" w:w="1728"/>
            <w:shd w:fill="F9F9F9" w:val="clear"/>
          </w:tcPr>
          <w:p>
            <w:r>
              <w:t>🟢 利好</w:t>
            </w:r>
          </w:p>
        </w:tc>
        <w:tc>
          <w:tcPr>
            <w:tcW w:type="dxa" w:w="1728"/>
            <w:shd w:fill="F9F9F9" w:val="clear"/>
          </w:tcPr>
          <w:p>
            <w:r>
              <w:t>市場消化鴿派信號，但 8/27 曾因等待講話下跌</w:t>
            </w:r>
          </w:p>
        </w:tc>
      </w:tr>
    </w:tbl>
    <w:p/>
    <w:p>
      <w:pPr>
        <w:pStyle w:val="Heading3"/>
      </w:pPr>
      <w:r>
        <w:rPr>
          <w:color w:val="003366"/>
        </w:rPr>
        <w:t>🟢 低影響力但值得關注事件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時間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影響市場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說明</w:t>
            </w:r>
          </w:p>
        </w:tc>
      </w:tr>
      <w:tr>
        <w:tc>
          <w:tcPr>
            <w:tcW w:type="dxa" w:w="2160"/>
          </w:tcPr>
          <w:p>
            <w:r>
              <w:t>**NVIDIA 股價逼近歷史高位、IPO 以來回報驚人**</w:t>
            </w:r>
          </w:p>
        </w:tc>
        <w:tc>
          <w:tcPr>
            <w:tcW w:type="dxa" w:w="2160"/>
          </w:tcPr>
          <w:p>
            <w:r>
              <w:t>8/30 23:31 UTC</w:t>
            </w:r>
          </w:p>
        </w:tc>
        <w:tc>
          <w:tcPr>
            <w:tcW w:type="dxa" w:w="2160"/>
          </w:tcPr>
          <w:p>
            <w:r>
              <w:t>美股科技、AI 產業鏈</w:t>
            </w:r>
          </w:p>
        </w:tc>
        <w:tc>
          <w:tcPr>
            <w:tcW w:type="dxa" w:w="2160"/>
          </w:tcPr>
          <w:p>
            <w:r>
              <w:t>情緒指標，顯示 AI 信心未減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**S&amp;P 500 年初至今 +12.65%，期權/保證金債務創新高**</w:t>
            </w:r>
          </w:p>
        </w:tc>
        <w:tc>
          <w:tcPr>
            <w:tcW w:type="dxa" w:w="2160"/>
            <w:shd w:fill="F9F9F9" w:val="clear"/>
          </w:tcPr>
          <w:p>
            <w:r>
              <w:t>8/30 21:04 UTC</w:t>
            </w:r>
          </w:p>
        </w:tc>
        <w:tc>
          <w:tcPr>
            <w:tcW w:type="dxa" w:w="2160"/>
            <w:shd w:fill="F9F9F9" w:val="clear"/>
          </w:tcPr>
          <w:p>
            <w:r>
              <w:t>美股整體</w:t>
            </w:r>
          </w:p>
        </w:tc>
        <w:tc>
          <w:tcPr>
            <w:tcW w:type="dxa" w:w="2160"/>
            <w:shd w:fill="F9F9F9" w:val="clear"/>
          </w:tcPr>
          <w:p>
            <w:r>
              <w:t>類比 1907 年崩盤前槓桿水平，風險預警</w:t>
            </w:r>
          </w:p>
        </w:tc>
      </w:tr>
      <w:tr>
        <w:tc>
          <w:tcPr>
            <w:tcW w:type="dxa" w:w="2160"/>
          </w:tcPr>
          <w:p>
            <w:r>
              <w:t>**博通、戴爾、HPE 本週將公布財報**</w:t>
            </w:r>
          </w:p>
        </w:tc>
        <w:tc>
          <w:tcPr>
            <w:tcW w:type="dxa" w:w="2160"/>
          </w:tcPr>
          <w:p>
            <w:r>
              <w:t>8/30 22:13 UTC</w:t>
            </w:r>
          </w:p>
        </w:tc>
        <w:tc>
          <w:tcPr>
            <w:tcW w:type="dxa" w:w="2160"/>
          </w:tcPr>
          <w:p>
            <w:r>
              <w:t>半導體、企業級硬體</w:t>
            </w:r>
          </w:p>
        </w:tc>
        <w:tc>
          <w:tcPr>
            <w:tcW w:type="dxa" w:w="2160"/>
          </w:tcPr>
          <w:p>
            <w:r>
              <w:t>AI 基礎建設需求驗證關鍵催化劑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**黃金再創新高、貝森特學說傳聞**</w:t>
            </w:r>
          </w:p>
        </w:tc>
        <w:tc>
          <w:tcPr>
            <w:tcW w:type="dxa" w:w="2160"/>
            <w:shd w:fill="F9F9F9" w:val="clear"/>
          </w:tcPr>
          <w:p>
            <w:r>
              <w:t>8/30 22:28 UTC</w:t>
            </w:r>
          </w:p>
        </w:tc>
        <w:tc>
          <w:tcPr>
            <w:tcW w:type="dxa" w:w="2160"/>
            <w:shd w:fill="F9F9F9" w:val="clear"/>
          </w:tcPr>
          <w:p>
            <w:r>
              <w:t>大宗商品、外匯</w:t>
            </w:r>
          </w:p>
        </w:tc>
        <w:tc>
          <w:tcPr>
            <w:tcW w:type="dxa" w:w="2160"/>
            <w:shd w:fill="F9F9F9" w:val="clear"/>
          </w:tcPr>
          <w:p>
            <w:r>
              <w:t>央行購金 + 避險 + 貨幣政策不確定性</w:t>
            </w:r>
          </w:p>
        </w:tc>
      </w:tr>
    </w:tbl>
    <w:p/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港股市場深度分析</w:t>
      </w:r>
    </w:p>
    <w:p>
      <w:pPr>
        <w:pStyle w:val="Heading3"/>
      </w:pPr>
      <w:r>
        <w:rPr>
          <w:color w:val="003366"/>
        </w:rPr>
        <w:t>恒生指數技術面概況 (估算值，基於新聞面推導)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指標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狀態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含義</w:t>
            </w:r>
          </w:p>
        </w:tc>
      </w:tr>
      <w:tr>
        <w:tc>
          <w:tcPr>
            <w:tcW w:type="dxa" w:w="2880"/>
          </w:tcPr>
          <w:p>
            <w:r>
              <w:t>**趨勢**</w:t>
            </w:r>
          </w:p>
        </w:tc>
        <w:tc>
          <w:tcPr>
            <w:tcW w:type="dxa" w:w="2880"/>
          </w:tcPr>
          <w:p>
            <w:r>
              <w:t>震盪上行</w:t>
            </w:r>
          </w:p>
        </w:tc>
        <w:tc>
          <w:tcPr>
            <w:tcW w:type="dxa" w:w="2880"/>
          </w:tcPr>
          <w:p>
            <w:r>
              <w:t>20,000-22,000 區間震盪，近期有上破嘗試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**支撐位**</w:t>
            </w:r>
          </w:p>
        </w:tc>
        <w:tc>
          <w:tcPr>
            <w:tcW w:type="dxa" w:w="2880"/>
            <w:shd w:fill="F9F9F9" w:val="clear"/>
          </w:tcPr>
          <w:p>
            <w:r>
              <w:t>20,500 / 20,000</w:t>
            </w:r>
          </w:p>
        </w:tc>
        <w:tc>
          <w:tcPr>
            <w:tcW w:type="dxa" w:w="2880"/>
            <w:shd w:fill="F9F9F9" w:val="clear"/>
          </w:tcPr>
          <w:p>
            <w:r>
              <w:t>20 日均線、心理關口</w:t>
            </w:r>
          </w:p>
        </w:tc>
      </w:tr>
      <w:tr>
        <w:tc>
          <w:tcPr>
            <w:tcW w:type="dxa" w:w="2880"/>
          </w:tcPr>
          <w:p>
            <w:r>
              <w:t>**阻力位**</w:t>
            </w:r>
          </w:p>
        </w:tc>
        <w:tc>
          <w:tcPr>
            <w:tcW w:type="dxa" w:w="2880"/>
          </w:tcPr>
          <w:p>
            <w:r>
              <w:t>21,500 / 22,000</w:t>
            </w:r>
          </w:p>
        </w:tc>
        <w:tc>
          <w:tcPr>
            <w:tcW w:type="dxa" w:w="2880"/>
          </w:tcPr>
          <w:p>
            <w:r>
              <w:t>前高壓力、成交密集區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**成交量**</w:t>
            </w:r>
          </w:p>
        </w:tc>
        <w:tc>
          <w:tcPr>
            <w:tcW w:type="dxa" w:w="2880"/>
            <w:shd w:fill="F9F9F9" w:val="clear"/>
          </w:tcPr>
          <w:p>
            <w:r>
              <w:t>縮量企穩</w:t>
            </w:r>
          </w:p>
        </w:tc>
        <w:tc>
          <w:tcPr>
            <w:tcW w:type="dxa" w:w="2880"/>
            <w:shd w:fill="F9F9F9" w:val="clear"/>
          </w:tcPr>
          <w:p>
            <w:r>
              <w:t>882 億港幣南向成交佔比 38%，資金觀望</w:t>
            </w:r>
          </w:p>
        </w:tc>
      </w:tr>
      <w:tr>
        <w:tc>
          <w:tcPr>
            <w:tcW w:type="dxa" w:w="2880"/>
          </w:tcPr>
          <w:p>
            <w:r>
              <w:t>**RSI (14)**</w:t>
            </w:r>
          </w:p>
        </w:tc>
        <w:tc>
          <w:tcPr>
            <w:tcW w:type="dxa" w:w="2880"/>
          </w:tcPr>
          <w:p>
            <w:r>
              <w:t>~55</w:t>
            </w:r>
          </w:p>
        </w:tc>
        <w:tc>
          <w:tcPr>
            <w:tcW w:type="dxa" w:w="2880"/>
          </w:tcPr>
          <w:p>
            <w:r>
              <w:t>中性偏多，無超買超賣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**MACD**</w:t>
            </w:r>
          </w:p>
        </w:tc>
        <w:tc>
          <w:tcPr>
            <w:tcW w:type="dxa" w:w="2880"/>
            <w:shd w:fill="F9F9F9" w:val="clear"/>
          </w:tcPr>
          <w:p>
            <w:r>
              <w:t>金叉形成中</w:t>
            </w:r>
          </w:p>
        </w:tc>
        <w:tc>
          <w:tcPr>
            <w:tcW w:type="dxa" w:w="2880"/>
            <w:shd w:fill="F9F9F9" w:val="clear"/>
          </w:tcPr>
          <w:p>
            <w:r>
              <w:t>短期動能改善</w:t>
            </w:r>
          </w:p>
        </w:tc>
      </w:tr>
    </w:tbl>
    <w:p/>
    <w:p>
      <w:pPr>
        <w:pStyle w:val="Heading3"/>
      </w:pPr>
      <w:r>
        <w:rPr>
          <w:color w:val="003366"/>
        </w:rPr>
        <w:t>板塊表現差異化分析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板塊/主題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表現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驅動因素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後市展望</w:t>
            </w:r>
          </w:p>
        </w:tc>
      </w:tr>
      <w:tr>
        <w:tc>
          <w:tcPr>
            <w:tcW w:type="dxa" w:w="2160"/>
          </w:tcPr>
          <w:p>
            <w:r>
              <w:t>**核心本地消費 (美團、快餐、零售)**</w:t>
            </w:r>
          </w:p>
        </w:tc>
        <w:tc>
          <w:tcPr>
            <w:tcW w:type="dxa" w:w="2160"/>
          </w:tcPr>
          <w:p>
            <w:r>
              <w:t>🟢 **強勢**</w:t>
            </w:r>
          </w:p>
        </w:tc>
        <w:tc>
          <w:tcPr>
            <w:tcW w:type="dxa" w:w="2160"/>
          </w:tcPr>
          <w:p>
            <w:r>
              <w:t>美團財報超預期、消費復蘇跡象、補貼戰結束</w:t>
            </w:r>
          </w:p>
        </w:tc>
        <w:tc>
          <w:tcPr>
            <w:tcW w:type="dxa" w:w="2160"/>
          </w:tcPr>
          <w:p>
            <w:r>
              <w:t>維持超配，關注 Q3 旺季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**互聯網巨頭 (騰訊、阿里、京東)**</w:t>
            </w:r>
          </w:p>
        </w:tc>
        <w:tc>
          <w:tcPr>
            <w:tcW w:type="dxa" w:w="2160"/>
            <w:shd w:fill="F9F9F9" w:val="clear"/>
          </w:tcPr>
          <w:p>
            <w:r>
              <w:t>🟡 **分化**</w:t>
            </w:r>
          </w:p>
        </w:tc>
        <w:tc>
          <w:tcPr>
            <w:tcW w:type="dxa" w:w="2160"/>
            <w:shd w:fill="F9F9F9" w:val="clear"/>
          </w:tcPr>
          <w:p>
            <w:r>
              <w:t>騰訊回購支撐、阿里面臨北向流出、基本面穩健</w:t>
            </w:r>
          </w:p>
        </w:tc>
        <w:tc>
          <w:tcPr>
            <w:tcW w:type="dxa" w:w="2160"/>
            <w:shd w:fill="F9F9F9" w:val="clear"/>
          </w:tcPr>
          <w:p>
            <w:r>
              <w:t>騰訊相對優於阿里，估值修復空間大</w:t>
            </w:r>
          </w:p>
        </w:tc>
      </w:tr>
      <w:tr>
        <w:tc>
          <w:tcPr>
            <w:tcW w:type="dxa" w:w="2160"/>
          </w:tcPr>
          <w:p>
            <w:r>
              <w:t>**AI/半導體/硬科技 (中芯、華虹、勝宏、智譜)**</w:t>
            </w:r>
          </w:p>
        </w:tc>
        <w:tc>
          <w:tcPr>
            <w:tcW w:type="dxa" w:w="2160"/>
          </w:tcPr>
          <w:p>
            <w:r>
              <w:t>🟢 **強勢**</w:t>
            </w:r>
          </w:p>
        </w:tc>
        <w:tc>
          <w:tcPr>
            <w:tcW w:type="dxa" w:w="2160"/>
          </w:tcPr>
          <w:p>
            <w:r>
              <w:t>北向資金持續流入、產業政策支援、Sharpa 融資驗證</w:t>
            </w:r>
          </w:p>
        </w:tc>
        <w:tc>
          <w:tcPr>
            <w:tcW w:type="dxa" w:w="2160"/>
          </w:tcPr>
          <w:p>
            <w:r>
              <w:t>核心配置，關注出口管制風險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**金融/地產/傳統藍籌**</w:t>
            </w:r>
          </w:p>
        </w:tc>
        <w:tc>
          <w:tcPr>
            <w:tcW w:type="dxa" w:w="2160"/>
            <w:shd w:fill="F9F9F9" w:val="clear"/>
          </w:tcPr>
          <w:p>
            <w:r>
              <w:t>🔴 **偏弱**</w:t>
            </w:r>
          </w:p>
        </w:tc>
        <w:tc>
          <w:tcPr>
            <w:tcW w:type="dxa" w:w="2160"/>
            <w:shd w:fill="F9F9F9" w:val="clear"/>
          </w:tcPr>
          <w:p>
            <w:r>
              <w:t>利率下行壓縮息差、地產風險未解</w:t>
            </w:r>
          </w:p>
        </w:tc>
        <w:tc>
          <w:tcPr>
            <w:tcW w:type="dxa" w:w="2160"/>
            <w:shd w:fill="F9F9F9" w:val="clear"/>
          </w:tcPr>
          <w:p>
            <w:r>
              <w:t>低配，等待政策進一步放鬆</w:t>
            </w:r>
          </w:p>
        </w:tc>
      </w:tr>
      <w:tr>
        <w:tc>
          <w:tcPr>
            <w:tcW w:type="dxa" w:w="2160"/>
          </w:tcPr>
          <w:p>
            <w:r>
              <w:t>**新能源/電動車 (比亞迪、理想、小鵬)**</w:t>
            </w:r>
          </w:p>
        </w:tc>
        <w:tc>
          <w:tcPr>
            <w:tcW w:type="dxa" w:w="2160"/>
          </w:tcPr>
          <w:p>
            <w:r>
              <w:t>🟡 **中性**</w:t>
            </w:r>
          </w:p>
        </w:tc>
        <w:tc>
          <w:tcPr>
            <w:tcW w:type="dxa" w:w="2160"/>
          </w:tcPr>
          <w:p>
            <w:r>
              <w:t>價格戰持續、出口增長放緩</w:t>
            </w:r>
          </w:p>
        </w:tc>
        <w:tc>
          <w:tcPr>
            <w:tcW w:type="dxa" w:w="2160"/>
          </w:tcPr>
          <w:p>
            <w:r>
              <w:t>選股為主，關注海外擴張進度</w:t>
            </w:r>
          </w:p>
        </w:tc>
      </w:tr>
    </w:tbl>
    <w:p/>
    <w:p>
      <w:pPr>
        <w:pStyle w:val="Heading3"/>
      </w:pPr>
      <w:r>
        <w:rPr>
          <w:color w:val="003366"/>
        </w:rPr>
        <w:t>北向資金 (滬港通/深港通) 流向解讀</w:t>
      </w:r>
    </w:p>
    <w:p>
      <w:pPr>
        <w:spacing w:before="120" w:after="120"/>
        <w:shd w:fill="F4F4F4" w:val="clear"/>
      </w:pPr>
      <w:r>
        <w:rPr>
          <w:rFonts w:ascii="Consolas" w:hAnsi="Consolas"/>
          <w:color w:val="1E1E1E"/>
          <w:sz w:val="18"/>
        </w:rPr>
        <w:t>淨流入 TOP 3:</w:t>
        <w:br/>
        <w:t>1. 勝宏科技 (02476.HK)  +4.54 億港元  ← 智能製造/半導體設備</w:t>
        <w:br/>
        <w:t>2. 智譜 (02513.HK)      +3.41 億港元  ← AI 大模型/生成式 AI</w:t>
        <w:br/>
        <w:t>3. 長飛光纖 (06869.HK)  +2.96 億港元  ← 光通訊/AI 基建</w:t>
        <w:br/>
        <w:br/>
        <w:t>淨流出 TOP 3:</w:t>
        <w:br/>
        <w:t>1. 阿里巴巴 (09988.HK)  -3.81 億港元  ← 獲利了結/監管不確定性</w:t>
        <w:br/>
        <w:t>2. 騰訊 (00700.HK)      -1.44 億港元  ← 短期調整/回購抵消部份壓力</w:t>
        <w:br/>
        <w:t>3. 中芯國際 (00981.HK)  -1.42 億港元  ← 出口管制擔憂/估值偏高</w:t>
      </w:r>
    </w:p>
    <w:p>
      <w:r>
        <w:rPr>
          <w:b/>
        </w:rPr>
        <w:t>關鍵洞察</w:t>
      </w:r>
      <w:r>
        <w:t>:</w:t>
      </w:r>
      <w:r>
        <w:t xml:space="preserve"> </w:t>
      </w:r>
      <w:r>
        <w:t>智</w:t>
      </w:r>
      <w:r>
        <w:t>能</w:t>
      </w:r>
      <w:r>
        <w:t>資</w:t>
      </w:r>
      <w:r>
        <w:t>金</w:t>
      </w:r>
      <w:r>
        <w:t>正</w:t>
      </w:r>
      <w:r>
        <w:t>從</w:t>
      </w:r>
      <w:r>
        <w:t>「</w:t>
      </w:r>
      <w:r>
        <w:t>平</w:t>
      </w:r>
      <w:r>
        <w:t>台</w:t>
      </w:r>
      <w:r>
        <w:t>型</w:t>
      </w:r>
      <w:r>
        <w:t>互</w:t>
      </w:r>
      <w:r>
        <w:t>聯</w:t>
      </w:r>
      <w:r>
        <w:t>網</w:t>
      </w:r>
      <w:r>
        <w:t>巨</w:t>
      </w:r>
      <w:r>
        <w:t>頭</w:t>
      </w:r>
      <w:r>
        <w:t>」</w:t>
      </w:r>
      <w:r>
        <w:t>輪</w:t>
      </w:r>
      <w:r>
        <w:t>換</w:t>
      </w:r>
      <w:r>
        <w:t>至</w:t>
      </w:r>
      <w:r>
        <w:t>「</w:t>
      </w:r>
      <w:r>
        <w:t>硬</w:t>
      </w:r>
      <w:r>
        <w:t>科</w:t>
      </w:r>
      <w:r>
        <w:t>技</w:t>
      </w:r>
      <w:r>
        <w:t>/</w:t>
      </w:r>
      <w:r>
        <w:t>產</w:t>
      </w:r>
      <w:r>
        <w:t>業</w:t>
      </w:r>
      <w:r>
        <w:t>鏈</w:t>
      </w:r>
      <w:r>
        <w:t>上</w:t>
      </w:r>
      <w:r>
        <w:t>游</w:t>
      </w:r>
      <w:r>
        <w:t>/</w:t>
      </w:r>
      <w:r>
        <w:t xml:space="preserve"> </w:t>
      </w:r>
      <w:r>
        <w:t>A</w:t>
      </w:r>
      <w:r>
        <w:t>I</w:t>
      </w:r>
      <w:r>
        <w:t xml:space="preserve"> </w:t>
      </w:r>
      <w:r>
        <w:t>基</w:t>
      </w:r>
      <w:r>
        <w:t>建</w:t>
      </w:r>
      <w:r>
        <w:t>」</w:t>
      </w:r>
      <w:r>
        <w:t>，</w:t>
      </w:r>
      <w:r>
        <w:t>這</w:t>
      </w:r>
      <w:r>
        <w:t>是</w:t>
      </w:r>
      <w:r>
        <w:t>結</w:t>
      </w:r>
      <w:r>
        <w:t>構</w:t>
      </w:r>
      <w:r>
        <w:t>性</w:t>
      </w:r>
      <w:r>
        <w:t>轉</w:t>
      </w:r>
      <w:r>
        <w:t>向</w:t>
      </w:r>
      <w:r>
        <w:t>而</w:t>
      </w:r>
      <w:r>
        <w:t>非</w:t>
      </w:r>
      <w:r>
        <w:t>短</w:t>
      </w:r>
      <w:r>
        <w:t>線</w:t>
      </w:r>
      <w:r>
        <w:t>投</w:t>
      </w:r>
      <w:r>
        <w:t>機</w:t>
      </w:r>
      <w:r>
        <w:t>。</w:t>
      </w:r>
    </w:p>
    <w:p>
      <w:pPr>
        <w:pStyle w:val="Heading3"/>
      </w:pPr>
      <w:r>
        <w:rPr>
          <w:color w:val="003366"/>
        </w:rPr>
        <w:t>港股關鍵催化劑時間表 (未來 2 週)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日期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預期影響</w:t>
            </w:r>
          </w:p>
        </w:tc>
      </w:tr>
      <w:tr>
        <w:tc>
          <w:tcPr>
            <w:tcW w:type="dxa" w:w="2880"/>
          </w:tcPr>
          <w:p>
            <w:r>
              <w:t>9 月初</w:t>
            </w:r>
          </w:p>
        </w:tc>
        <w:tc>
          <w:tcPr>
            <w:tcW w:type="dxa" w:w="2880"/>
          </w:tcPr>
          <w:p>
            <w:r>
              <w:t>中國 8 月 Caixin PMI / 官方 PMI</w:t>
            </w:r>
          </w:p>
        </w:tc>
        <w:tc>
          <w:tcPr>
            <w:tcW w:type="dxa" w:w="2880"/>
          </w:tcPr>
          <w:p>
            <w:r>
              <w:t>製造業擴張將支撐港股製造/工業板塊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9 月中</w:t>
            </w:r>
          </w:p>
        </w:tc>
        <w:tc>
          <w:tcPr>
            <w:tcW w:type="dxa" w:w="2880"/>
            <w:shd w:fill="F9F9F9" w:val="clear"/>
          </w:tcPr>
          <w:p>
            <w:r>
              <w:t>美聯儲 9 月利率決議 (市場定價降息 25bp)</w:t>
            </w:r>
          </w:p>
        </w:tc>
        <w:tc>
          <w:tcPr>
            <w:tcW w:type="dxa" w:w="2880"/>
            <w:shd w:fill="F9F9F9" w:val="clear"/>
          </w:tcPr>
          <w:p>
            <w:r>
              <w:t>港股受益於港元跟隨美元降息、流動性改善</w:t>
            </w:r>
          </w:p>
        </w:tc>
      </w:tr>
      <w:tr>
        <w:tc>
          <w:tcPr>
            <w:tcW w:type="dxa" w:w="2880"/>
          </w:tcPr>
          <w:p>
            <w:r>
              <w:t>9 月中</w:t>
            </w:r>
          </w:p>
        </w:tc>
        <w:tc>
          <w:tcPr>
            <w:tcW w:type="dxa" w:w="2880"/>
          </w:tcPr>
          <w:p>
            <w:r>
              <w:t>蘋果秋季發布會 (iPhone 18 系列)</w:t>
            </w:r>
          </w:p>
        </w:tc>
        <w:tc>
          <w:tcPr>
            <w:tcW w:type="dxa" w:w="2880"/>
          </w:tcPr>
          <w:p>
            <w:r>
              <w:t>供應鏈股 (瑞聲、舜宇、豐泰) 波動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9 月底</w:t>
            </w:r>
          </w:p>
        </w:tc>
        <w:tc>
          <w:tcPr>
            <w:tcW w:type="dxa" w:w="2880"/>
            <w:shd w:fill="F9F9F9" w:val="clear"/>
          </w:tcPr>
          <w:p>
            <w:r>
              <w:t>國慶黃金周消費數據</w:t>
            </w:r>
          </w:p>
        </w:tc>
        <w:tc>
          <w:tcPr>
            <w:tcW w:type="dxa" w:w="2880"/>
            <w:shd w:fill="F9F9F9" w:val="clear"/>
          </w:tcPr>
          <w:p>
            <w:r>
              <w:t>消費/旅遊/零售板塊催化劑</w:t>
            </w:r>
          </w:p>
        </w:tc>
      </w:tr>
    </w:tbl>
    <w:p/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美股市場深度分析</w:t>
      </w:r>
    </w:p>
    <w:p>
      <w:pPr>
        <w:pStyle w:val="Heading3"/>
      </w:pPr>
      <w:r>
        <w:rPr>
          <w:color w:val="003366"/>
        </w:rPr>
        <w:t>三大指數技術面概況 (估算值)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指數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現價區間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趨勢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關鍵支撐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關鍵阻力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RSI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異常信號</w:t>
            </w:r>
          </w:p>
        </w:tc>
      </w:tr>
      <w:tr>
        <w:tc>
          <w:tcPr>
            <w:tcW w:type="dxa" w:w="1234"/>
          </w:tcPr>
          <w:p>
            <w:r>
              <w:t>**S&amp;P 500**</w:t>
            </w:r>
          </w:p>
        </w:tc>
        <w:tc>
          <w:tcPr>
            <w:tcW w:type="dxa" w:w="1234"/>
          </w:tcPr>
          <w:p>
            <w:r>
              <w:t>5,800-6,000</w:t>
            </w:r>
          </w:p>
        </w:tc>
        <w:tc>
          <w:tcPr>
            <w:tcW w:type="dxa" w:w="1234"/>
          </w:tcPr>
          <w:p>
            <w:r>
              <w:t>橫盤整理</w:t>
            </w:r>
          </w:p>
        </w:tc>
        <w:tc>
          <w:tcPr>
            <w:tcW w:type="dxa" w:w="1234"/>
          </w:tcPr>
          <w:p>
            <w:r>
              <w:t>5,700 (20 日線) / 5,500 (50 日線)</w:t>
            </w:r>
          </w:p>
        </w:tc>
        <w:tc>
          <w:tcPr>
            <w:tcW w:type="dxa" w:w="1234"/>
          </w:tcPr>
          <w:p>
            <w:r>
              <w:t>6,000 (心理關口) / 6,100 (歷史高位)</w:t>
            </w:r>
          </w:p>
        </w:tc>
        <w:tc>
          <w:tcPr>
            <w:tcW w:type="dxa" w:w="1234"/>
          </w:tcPr>
          <w:p>
            <w:r>
              <w:t>~62</w:t>
            </w:r>
          </w:p>
        </w:tc>
        <w:tc>
          <w:tcPr>
            <w:tcW w:type="dxa" w:w="1234"/>
          </w:tcPr>
          <w:p>
            <w:r>
              <w:t>期權 Put/Call 比率偏低、保證金債務創高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**納斯達克 100**</w:t>
            </w:r>
          </w:p>
        </w:tc>
        <w:tc>
          <w:tcPr>
            <w:tcW w:type="dxa" w:w="1234"/>
            <w:shd w:fill="F9F9F9" w:val="clear"/>
          </w:tcPr>
          <w:p>
            <w:r>
              <w:t>19,500-20,500</w:t>
            </w:r>
          </w:p>
        </w:tc>
        <w:tc>
          <w:tcPr>
            <w:tcW w:type="dxa" w:w="1234"/>
            <w:shd w:fill="F9F9F9" w:val="clear"/>
          </w:tcPr>
          <w:p>
            <w:r>
              <w:t>震盪偏多</w:t>
            </w:r>
          </w:p>
        </w:tc>
        <w:tc>
          <w:tcPr>
            <w:tcW w:type="dxa" w:w="1234"/>
            <w:shd w:fill="F9F9F9" w:val="clear"/>
          </w:tcPr>
          <w:p>
            <w:r>
              <w:t>19,200 / 18,800</w:t>
            </w:r>
          </w:p>
        </w:tc>
        <w:tc>
          <w:tcPr>
            <w:tcW w:type="dxa" w:w="1234"/>
            <w:shd w:fill="F9F9F9" w:val="clear"/>
          </w:tcPr>
          <w:p>
            <w:r>
              <w:t>20,500 / 21,000</w:t>
            </w:r>
          </w:p>
        </w:tc>
        <w:tc>
          <w:tcPr>
            <w:tcW w:type="dxa" w:w="1234"/>
            <w:shd w:fill="F9F9F9" w:val="clear"/>
          </w:tcPr>
          <w:p>
            <w:r>
              <w:t>~65</w:t>
            </w:r>
          </w:p>
        </w:tc>
        <w:tc>
          <w:tcPr>
            <w:tcW w:type="dxa" w:w="1234"/>
            <w:shd w:fill="F9F9F9" w:val="clear"/>
          </w:tcPr>
          <w:p>
            <w:r>
              <w:t>科技股集中度風險 (前 7 檔佔比 &gt;30%)</w:t>
            </w:r>
          </w:p>
        </w:tc>
      </w:tr>
      <w:tr>
        <w:tc>
          <w:tcPr>
            <w:tcW w:type="dxa" w:w="1234"/>
          </w:tcPr>
          <w:p>
            <w:r>
              <w:t>**道瓊斯 30**</w:t>
            </w:r>
          </w:p>
        </w:tc>
        <w:tc>
          <w:tcPr>
            <w:tcW w:type="dxa" w:w="1234"/>
          </w:tcPr>
          <w:p>
            <w:r>
              <w:t>41,000-42,500</w:t>
            </w:r>
          </w:p>
        </w:tc>
        <w:tc>
          <w:tcPr>
            <w:tcW w:type="dxa" w:w="1234"/>
          </w:tcPr>
          <w:p>
            <w:r>
              <w:t>震盪偏弱</w:t>
            </w:r>
          </w:p>
        </w:tc>
        <w:tc>
          <w:tcPr>
            <w:tcW w:type="dxa" w:w="1234"/>
          </w:tcPr>
          <w:p>
            <w:r>
              <w:t>40,500 / 40,000</w:t>
            </w:r>
          </w:p>
        </w:tc>
        <w:tc>
          <w:tcPr>
            <w:tcW w:type="dxa" w:w="1234"/>
          </w:tcPr>
          <w:p>
            <w:r>
              <w:t>42,500 / 43,000</w:t>
            </w:r>
          </w:p>
        </w:tc>
        <w:tc>
          <w:tcPr>
            <w:tcW w:type="dxa" w:w="1234"/>
          </w:tcPr>
          <w:p>
            <w:r>
              <w:t>~55</w:t>
            </w:r>
          </w:p>
        </w:tc>
        <w:tc>
          <w:tcPr>
            <w:tcW w:type="dxa" w:w="1234"/>
          </w:tcPr>
          <w:p>
            <w:r>
              <w:t>能源/金融權重大、受地緣政治敏感</w:t>
            </w:r>
          </w:p>
        </w:tc>
      </w:tr>
    </w:tbl>
    <w:p/>
    <w:p>
      <w:pPr>
        <w:pStyle w:val="Heading3"/>
      </w:pPr>
      <w:r>
        <w:rPr>
          <w:color w:val="003366"/>
        </w:rPr>
        <w:t>板塊輪動分析 (過去 24 小時隱含)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板塊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動能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基本面驅動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風險因子</w:t>
            </w:r>
          </w:p>
        </w:tc>
      </w:tr>
      <w:tr>
        <w:tc>
          <w:tcPr>
            <w:tcW w:type="dxa" w:w="2160"/>
          </w:tcPr>
          <w:p>
            <w:r>
              <w:t>**半導體/ AI 算力 (NVDA, AVGO, AMD, MRVL)**</w:t>
            </w:r>
          </w:p>
        </w:tc>
        <w:tc>
          <w:tcPr>
            <w:tcW w:type="dxa" w:w="2160"/>
          </w:tcPr>
          <w:p>
            <w:r>
              <w:t>🟢 **強**</w:t>
            </w:r>
          </w:p>
        </w:tc>
        <w:tc>
          <w:tcPr>
            <w:tcW w:type="dxa" w:w="2160"/>
          </w:tcPr>
          <w:p>
            <w:r>
              <w:t>AI 资本开支持续、博通财报即将验证、HBM/CoWoS 产能紧张</w:t>
            </w:r>
          </w:p>
        </w:tc>
        <w:tc>
          <w:tcPr>
            <w:tcW w:type="dxa" w:w="2160"/>
          </w:tcPr>
          <w:p>
            <w:r>
              <w:t>估值高、出口管制、单一客户依赖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**大型科技平台 (AAPL, MSFT, GOOGL, META, AMZN)**</w:t>
            </w:r>
          </w:p>
        </w:tc>
        <w:tc>
          <w:tcPr>
            <w:tcW w:type="dxa" w:w="2160"/>
            <w:shd w:fill="F9F9F9" w:val="clear"/>
          </w:tcPr>
          <w:p>
            <w:r>
              <w:t>🟡 **中性**</w:t>
            </w:r>
          </w:p>
        </w:tc>
        <w:tc>
          <w:tcPr>
            <w:tcW w:type="dxa" w:w="2160"/>
            <w:shd w:fill="F9F9F9" w:val="clear"/>
          </w:tcPr>
          <w:p>
            <w:r>
              <w:t>核心业务稳健、AI 货币化进展不一、监管压力</w:t>
            </w:r>
          </w:p>
        </w:tc>
        <w:tc>
          <w:tcPr>
            <w:tcW w:type="dxa" w:w="2160"/>
            <w:shd w:fill="F9F9F9" w:val="clear"/>
          </w:tcPr>
          <w:p>
            <w:r>
              <w:t>获利了结、法律诉讼 (反垄断)</w:t>
            </w:r>
          </w:p>
        </w:tc>
      </w:tr>
      <w:tr>
        <w:tc>
          <w:tcPr>
            <w:tcW w:type="dxa" w:w="2160"/>
          </w:tcPr>
          <w:p>
            <w:r>
              <w:t>**能源 (XOM, CVX, COP, SLB)**</w:t>
            </w:r>
          </w:p>
        </w:tc>
        <w:tc>
          <w:tcPr>
            <w:tcW w:type="dxa" w:w="2160"/>
          </w:tcPr>
          <w:p>
            <w:r>
              <w:t>🟢 **偏強**</w:t>
            </w:r>
          </w:p>
        </w:tc>
        <w:tc>
          <w:tcPr>
            <w:tcW w:type="dxa" w:w="2160"/>
          </w:tcPr>
          <w:p>
            <w:r>
              <w:t>油价反弹 (地缘政治)、现金流强、回购分红慷慨</w:t>
            </w:r>
          </w:p>
        </w:tc>
        <w:tc>
          <w:tcPr>
            <w:tcW w:type="dxa" w:w="2160"/>
          </w:tcPr>
          <w:p>
            <w:r>
              <w:t>需求前景、绿色转型压力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**金融 (JPM, BAC, GS, MS)**</w:t>
            </w:r>
          </w:p>
        </w:tc>
        <w:tc>
          <w:tcPr>
            <w:tcW w:type="dxa" w:w="2160"/>
            <w:shd w:fill="F9F9F9" w:val="clear"/>
          </w:tcPr>
          <w:p>
            <w:r>
              <w:t>🟡 **中性**</w:t>
            </w:r>
          </w:p>
        </w:tc>
        <w:tc>
          <w:tcPr>
            <w:tcW w:type="dxa" w:w="2160"/>
            <w:shd w:fill="F9F9F9" w:val="clear"/>
          </w:tcPr>
          <w:p>
            <w:r>
              <w:t>利差压缩、投行复苏、信贷质量稳定</w:t>
            </w:r>
          </w:p>
        </w:tc>
        <w:tc>
          <w:tcPr>
            <w:tcW w:type="dxa" w:w="2160"/>
            <w:shd w:fill="F9F9F9" w:val="clear"/>
          </w:tcPr>
          <w:p>
            <w:r>
              <w:t>降息周期、商业地产敞口</w:t>
            </w:r>
          </w:p>
        </w:tc>
      </w:tr>
      <w:tr>
        <w:tc>
          <w:tcPr>
            <w:tcW w:type="dxa" w:w="2160"/>
          </w:tcPr>
          <w:p>
            <w:r>
              <w:t>**工業/材料 (CAT, BA, GE, LMT)**</w:t>
            </w:r>
          </w:p>
        </w:tc>
        <w:tc>
          <w:tcPr>
            <w:tcW w:type="dxa" w:w="2160"/>
          </w:tcPr>
          <w:p>
            <w:r>
              <w:t>🔴 **偏弱**</w:t>
            </w:r>
          </w:p>
        </w:tc>
        <w:tc>
          <w:tcPr>
            <w:tcW w:type="dxa" w:w="2160"/>
          </w:tcPr>
          <w:p>
            <w:r>
              <w:t>地緣政治衝突利好國防、但全球製造業 PMI 疲軟</w:t>
            </w:r>
          </w:p>
        </w:tc>
        <w:tc>
          <w:tcPr>
            <w:tcW w:type="dxa" w:w="2160"/>
          </w:tcPr>
          <w:p>
            <w:r>
              <w:t>供應鏈重組、關稅風險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**消費必需/醫療/公用事業**</w:t>
            </w:r>
          </w:p>
        </w:tc>
        <w:tc>
          <w:tcPr>
            <w:tcW w:type="dxa" w:w="2160"/>
            <w:shd w:fill="F9F9F9" w:val="clear"/>
          </w:tcPr>
          <w:p>
            <w:r>
              <w:t>🟢 **防禦性強**</w:t>
            </w:r>
          </w:p>
        </w:tc>
        <w:tc>
          <w:tcPr>
            <w:tcW w:type="dxa" w:w="2160"/>
            <w:shd w:fill="F9F9F9" w:val="clear"/>
          </w:tcPr>
          <w:p>
            <w:r>
              <w:t>避險配置需求、股息收益率相對吸引</w:t>
            </w:r>
          </w:p>
        </w:tc>
        <w:tc>
          <w:tcPr>
            <w:tcW w:type="dxa" w:w="2160"/>
            <w:shd w:fill="F9F9F9" w:val="clear"/>
          </w:tcPr>
          <w:p>
            <w:r>
              <w:t>成長性有限、利率敏感</w:t>
            </w:r>
          </w:p>
        </w:tc>
      </w:tr>
    </w:tbl>
    <w:p/>
    <w:p>
      <w:pPr>
        <w:pStyle w:val="Heading3"/>
      </w:pPr>
      <w:r>
        <w:rPr>
          <w:color w:val="003366"/>
        </w:rPr>
        <w:t>宏觀數據前瞻 (本週關鍵)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日期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數據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前值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預期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市場影響</w:t>
            </w:r>
          </w:p>
        </w:tc>
      </w:tr>
      <w:tr>
        <w:tc>
          <w:tcPr>
            <w:tcW w:type="dxa" w:w="1728"/>
          </w:tcPr>
          <w:p>
            <w:r>
              <w:t>**周五 (9/5)**</w:t>
            </w:r>
          </w:p>
        </w:tc>
        <w:tc>
          <w:tcPr>
            <w:tcW w:type="dxa" w:w="1728"/>
          </w:tcPr>
          <w:p>
            <w:r>
              <w:t>**非農就業人口變動**</w:t>
            </w:r>
          </w:p>
        </w:tc>
        <w:tc>
          <w:tcPr>
            <w:tcW w:type="dxa" w:w="1728"/>
          </w:tcPr>
          <w:p>
            <w:r>
              <w:t>+11.4萬</w:t>
            </w:r>
          </w:p>
        </w:tc>
        <w:tc>
          <w:tcPr>
            <w:tcW w:type="dxa" w:w="1728"/>
          </w:tcPr>
          <w:p>
            <w:r>
              <w:t>+16.0萬</w:t>
            </w:r>
          </w:p>
        </w:tc>
        <w:tc>
          <w:tcPr>
            <w:tcW w:type="dxa" w:w="1728"/>
          </w:tcPr>
          <w:p>
            <w:r>
              <w:t>**核心催化劑** - 強則延緩降息、弱則引發衰退恐慌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**周五 (9/5)**</w:t>
            </w:r>
          </w:p>
        </w:tc>
        <w:tc>
          <w:tcPr>
            <w:tcW w:type="dxa" w:w="1728"/>
            <w:shd w:fill="F9F9F9" w:val="clear"/>
          </w:tcPr>
          <w:p>
            <w:r>
              <w:t>失業率</w:t>
            </w:r>
          </w:p>
        </w:tc>
        <w:tc>
          <w:tcPr>
            <w:tcW w:type="dxa" w:w="1728"/>
            <w:shd w:fill="F9F9F9" w:val="clear"/>
          </w:tcPr>
          <w:p>
            <w:r>
              <w:t>4.3%</w:t>
            </w:r>
          </w:p>
        </w:tc>
        <w:tc>
          <w:tcPr>
            <w:tcW w:type="dxa" w:w="1728"/>
            <w:shd w:fill="F9F9F9" w:val="clear"/>
          </w:tcPr>
          <w:p>
            <w:r>
              <w:t>4.2%</w:t>
            </w:r>
          </w:p>
        </w:tc>
        <w:tc>
          <w:tcPr>
            <w:tcW w:type="dxa" w:w="1728"/>
            <w:shd w:fill="F9F9F9" w:val="clear"/>
          </w:tcPr>
          <w:p>
            <w:r>
              <w:t>薪資增長 3.7% -&gt; 3.6% 為關鍵</w:t>
            </w:r>
          </w:p>
        </w:tc>
      </w:tr>
      <w:tr>
        <w:tc>
          <w:tcPr>
            <w:tcW w:type="dxa" w:w="1728"/>
          </w:tcPr>
          <w:p>
            <w:r>
              <w:t>**周三 (9/3)**</w:t>
            </w:r>
          </w:p>
        </w:tc>
        <w:tc>
          <w:tcPr>
            <w:tcW w:type="dxa" w:w="1728"/>
          </w:tcPr>
          <w:p>
            <w:r>
              <w:t>JOLTS 職位空缺</w:t>
            </w:r>
          </w:p>
        </w:tc>
        <w:tc>
          <w:tcPr>
            <w:tcW w:type="dxa" w:w="1728"/>
          </w:tcPr>
          <w:p>
            <w:r>
              <w:t>767 萬</w:t>
            </w:r>
          </w:p>
        </w:tc>
        <w:tc>
          <w:tcPr>
            <w:tcW w:type="dxa" w:w="1728"/>
          </w:tcPr>
          <w:p>
            <w:r>
              <w:t>750 萬</w:t>
            </w:r>
          </w:p>
        </w:tc>
        <w:tc>
          <w:tcPr>
            <w:tcW w:type="dxa" w:w="1728"/>
          </w:tcPr>
          <w:p>
            <w:r>
              <w:t>勞動力市場降溫跡象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**周三 (9/3)**</w:t>
            </w:r>
          </w:p>
        </w:tc>
        <w:tc>
          <w:tcPr>
            <w:tcW w:type="dxa" w:w="1728"/>
            <w:shd w:fill="F9F9F9" w:val="clear"/>
          </w:tcPr>
          <w:p>
            <w:r>
              <w:t>ISM 製造業 PMI</w:t>
            </w:r>
          </w:p>
        </w:tc>
        <w:tc>
          <w:tcPr>
            <w:tcW w:type="dxa" w:w="1728"/>
            <w:shd w:fill="F9F9F9" w:val="clear"/>
          </w:tcPr>
          <w:p>
            <w:r>
              <w:t>46.8</w:t>
            </w:r>
          </w:p>
        </w:tc>
        <w:tc>
          <w:tcPr>
            <w:tcW w:type="dxa" w:w="1728"/>
            <w:shd w:fill="F9F9F9" w:val="clear"/>
          </w:tcPr>
          <w:p>
            <w:r>
              <w:t>47.5</w:t>
            </w:r>
          </w:p>
        </w:tc>
        <w:tc>
          <w:tcPr>
            <w:tcW w:type="dxa" w:w="1728"/>
            <w:shd w:fill="F9F9F9" w:val="clear"/>
          </w:tcPr>
          <w:p>
            <w:r>
              <w:t>是否重回擴張區間</w:t>
            </w:r>
          </w:p>
        </w:tc>
      </w:tr>
      <w:tr>
        <w:tc>
          <w:tcPr>
            <w:tcW w:type="dxa" w:w="1728"/>
          </w:tcPr>
          <w:p>
            <w:r>
              <w:t>**周四 (9/4)**</w:t>
            </w:r>
          </w:p>
        </w:tc>
        <w:tc>
          <w:tcPr>
            <w:tcW w:type="dxa" w:w="1728"/>
          </w:tcPr>
          <w:p>
            <w:r>
              <w:t>ISM 服務業 PMI</w:t>
            </w:r>
          </w:p>
        </w:tc>
        <w:tc>
          <w:tcPr>
            <w:tcW w:type="dxa" w:w="1728"/>
          </w:tcPr>
          <w:p>
            <w:r>
              <w:t>51.4</w:t>
            </w:r>
          </w:p>
        </w:tc>
        <w:tc>
          <w:tcPr>
            <w:tcW w:type="dxa" w:w="1728"/>
          </w:tcPr>
          <w:p>
            <w:r>
              <w:t>52.0</w:t>
            </w:r>
          </w:p>
        </w:tc>
        <w:tc>
          <w:tcPr>
            <w:tcW w:type="dxa" w:w="1728"/>
          </w:tcPr>
          <w:p>
            <w:r>
              <w:t>服務業韌性驗證</w:t>
            </w:r>
          </w:p>
        </w:tc>
      </w:tr>
    </w:tbl>
    <w:p/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宏觀與地緣政治因素</w:t>
      </w:r>
    </w:p>
    <w:p>
      <w:pPr>
        <w:pStyle w:val="Heading3"/>
      </w:pPr>
      <w:r>
        <w:rPr>
          <w:color w:val="003366"/>
        </w:rPr>
        <w:t>地緣政治風險矩陣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風險事件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概率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衝擊程度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受影響資產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對沖建議</w:t>
            </w:r>
          </w:p>
        </w:tc>
      </w:tr>
      <w:tr>
        <w:tc>
          <w:tcPr>
            <w:tcW w:type="dxa" w:w="1728"/>
          </w:tcPr>
          <w:p>
            <w:r>
              <w:t>**美伊衝突升級**</w:t>
            </w:r>
          </w:p>
        </w:tc>
        <w:tc>
          <w:tcPr>
            <w:tcW w:type="dxa" w:w="1728"/>
          </w:tcPr>
          <w:p>
            <w:r>
              <w:t>中 (30%)</w:t>
            </w:r>
          </w:p>
        </w:tc>
        <w:tc>
          <w:tcPr>
            <w:tcW w:type="dxa" w:w="1728"/>
          </w:tcPr>
          <w:p>
            <w:r>
              <w:t>**極高**</w:t>
            </w:r>
          </w:p>
        </w:tc>
        <w:tc>
          <w:tcPr>
            <w:tcW w:type="dxa" w:w="1728"/>
          </w:tcPr>
          <w:p>
            <w:r>
              <w:t>油價 ↑↑、股市 ↓↓、黃金 ↑↑、美元 ↑</w:t>
            </w:r>
          </w:p>
        </w:tc>
        <w:tc>
          <w:tcPr>
            <w:tcW w:type="dxa" w:w="1728"/>
          </w:tcPr>
          <w:p>
            <w:r>
              <w:t>能源股、黃金、現金、波動率期權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**中美關稅/科技戰升級**</w:t>
            </w:r>
          </w:p>
        </w:tc>
        <w:tc>
          <w:tcPr>
            <w:tcW w:type="dxa" w:w="1728"/>
            <w:shd w:fill="F9F9F9" w:val="clear"/>
          </w:tcPr>
          <w:p>
            <w:r>
              <w:t>中高 (45%)</w:t>
            </w:r>
          </w:p>
        </w:tc>
        <w:tc>
          <w:tcPr>
            <w:tcW w:type="dxa" w:w="1728"/>
            <w:shd w:fill="F9F9F9" w:val="clear"/>
          </w:tcPr>
          <w:p>
            <w:r>
              <w:t>高</w:t>
            </w:r>
          </w:p>
        </w:tc>
        <w:tc>
          <w:tcPr>
            <w:tcW w:type="dxa" w:w="1728"/>
            <w:shd w:fill="F9F9F9" w:val="clear"/>
          </w:tcPr>
          <w:p>
            <w:r>
              <w:t>半導體 ↓、中概股 ↓、美元 ↑</w:t>
            </w:r>
          </w:p>
        </w:tc>
        <w:tc>
          <w:tcPr>
            <w:tcW w:type="dxa" w:w="1728"/>
            <w:shd w:fill="F9F9F9" w:val="clear"/>
          </w:tcPr>
          <w:p>
            <w:r>
              <w:t>降低中概股權重、增加國內替代</w:t>
            </w:r>
          </w:p>
        </w:tc>
      </w:tr>
      <w:tr>
        <w:tc>
          <w:tcPr>
            <w:tcW w:type="dxa" w:w="1728"/>
          </w:tcPr>
          <w:p>
            <w:r>
              <w:t>**俄烏/中東多線程衝突**</w:t>
            </w:r>
          </w:p>
        </w:tc>
        <w:tc>
          <w:tcPr>
            <w:tcW w:type="dxa" w:w="1728"/>
          </w:tcPr>
          <w:p>
            <w:r>
              <w:t>高 (60%)</w:t>
            </w:r>
          </w:p>
        </w:tc>
        <w:tc>
          <w:tcPr>
            <w:tcW w:type="dxa" w:w="1728"/>
          </w:tcPr>
          <w:p>
            <w:r>
              <w:t>中高</w:t>
            </w:r>
          </w:p>
        </w:tc>
        <w:tc>
          <w:tcPr>
            <w:tcW w:type="dxa" w:w="1728"/>
          </w:tcPr>
          <w:p>
            <w:r>
              <w:t>大宗商品 ↑、防務股 ↑、歐股 ↓</w:t>
            </w:r>
          </w:p>
        </w:tc>
        <w:tc>
          <w:tcPr>
            <w:tcW w:type="dxa" w:w="1728"/>
          </w:tcPr>
          <w:p>
            <w:r>
              <w:t>國防軍工、大宗商品 ETF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**特朗普貿易政策 2.0**</w:t>
            </w:r>
          </w:p>
        </w:tc>
        <w:tc>
          <w:tcPr>
            <w:tcW w:type="dxa" w:w="1728"/>
            <w:shd w:fill="F9F9F9" w:val="clear"/>
          </w:tcPr>
          <w:p>
            <w:r>
              <w:t>高 (70%)</w:t>
            </w:r>
          </w:p>
        </w:tc>
        <w:tc>
          <w:tcPr>
            <w:tcW w:type="dxa" w:w="1728"/>
            <w:shd w:fill="F9F9F9" w:val="clear"/>
          </w:tcPr>
          <w:p>
            <w:r>
              <w:t>中</w:t>
            </w:r>
          </w:p>
        </w:tc>
        <w:tc>
          <w:tcPr>
            <w:tcW w:type="dxa" w:w="1728"/>
            <w:shd w:fill="F9F9F9" w:val="clear"/>
          </w:tcPr>
          <w:p>
            <w:r>
              <w:t>新興市場 ↓、美元 ↑、全球貿易 ↓</w:t>
            </w:r>
          </w:p>
        </w:tc>
        <w:tc>
          <w:tcPr>
            <w:tcW w:type="dxa" w:w="1728"/>
            <w:shd w:fill="F9F9F9" w:val="clear"/>
          </w:tcPr>
          <w:p>
            <w:r>
              <w:t>降低出口導向型股票權重</w:t>
            </w:r>
          </w:p>
        </w:tc>
      </w:tr>
    </w:tbl>
    <w:p/>
    <w:p>
      <w:pPr>
        <w:pStyle w:val="Heading3"/>
      </w:pPr>
      <w:r>
        <w:rPr>
          <w:color w:val="003366"/>
        </w:rPr>
        <w:t>貨幣政策與匯率環境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變量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現狀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趨勢判斷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對港股/美股影響</w:t>
            </w:r>
          </w:p>
        </w:tc>
      </w:tr>
      <w:tr>
        <w:tc>
          <w:tcPr>
            <w:tcW w:type="dxa" w:w="2160"/>
          </w:tcPr>
          <w:p>
            <w:r>
              <w:t>**美聯儲利率**</w:t>
            </w:r>
          </w:p>
        </w:tc>
        <w:tc>
          <w:tcPr>
            <w:tcW w:type="dxa" w:w="2160"/>
          </w:tcPr>
          <w:p>
            <w:r>
              <w:t>5.25-5.50%</w:t>
            </w:r>
          </w:p>
        </w:tc>
        <w:tc>
          <w:tcPr>
            <w:tcW w:type="dxa" w:w="2160"/>
          </w:tcPr>
          <w:p>
            <w:r>
              <w:t>9 月降息 25bp 概率 &gt;80%</w:t>
            </w:r>
          </w:p>
        </w:tc>
        <w:tc>
          <w:tcPr>
            <w:tcW w:type="dxa" w:w="2160"/>
          </w:tcPr>
          <w:p>
            <w:r>
              <w:t>🟢 利好風險資產，但已充分定價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**美元指數 (DXY)**</w:t>
            </w:r>
          </w:p>
        </w:tc>
        <w:tc>
          <w:tcPr>
            <w:tcW w:type="dxa" w:w="2160"/>
            <w:shd w:fill="F9F9F9" w:val="clear"/>
          </w:tcPr>
          <w:p>
            <w:r>
              <w:t>~101-102</w:t>
            </w:r>
          </w:p>
        </w:tc>
        <w:tc>
          <w:tcPr>
            <w:tcW w:type="dxa" w:w="2160"/>
            <w:shd w:fill="F9F9F9" w:val="clear"/>
          </w:tcPr>
          <w:p>
            <w:r>
              <w:t>震盪偏弱</w:t>
            </w:r>
          </w:p>
        </w:tc>
        <w:tc>
          <w:tcPr>
            <w:tcW w:type="dxa" w:w="2160"/>
            <w:shd w:fill="F9F9F9" w:val="clear"/>
          </w:tcPr>
          <w:p>
            <w:r>
              <w:t>🟢 利好新興市場/港股、大宗商品</w:t>
            </w:r>
          </w:p>
        </w:tc>
      </w:tr>
      <w:tr>
        <w:tc>
          <w:tcPr>
            <w:tcW w:type="dxa" w:w="2160"/>
          </w:tcPr>
          <w:p>
            <w:r>
              <w:t>**人民幣匯率 (USDCNY)**</w:t>
            </w:r>
          </w:p>
        </w:tc>
        <w:tc>
          <w:tcPr>
            <w:tcW w:type="dxa" w:w="2160"/>
          </w:tcPr>
          <w:p>
            <w:r>
              <w:t>~7.15-7.20</w:t>
            </w:r>
          </w:p>
        </w:tc>
        <w:tc>
          <w:tcPr>
            <w:tcW w:type="dxa" w:w="2160"/>
          </w:tcPr>
          <w:p>
            <w:r>
              <w:t>企穩/微升</w:t>
            </w:r>
          </w:p>
        </w:tc>
        <w:tc>
          <w:tcPr>
            <w:tcW w:type="dxa" w:w="2160"/>
          </w:tcPr>
          <w:p>
            <w:r>
              <w:t>🟢 減少資本外流壓力、支撐北向資金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**港幣匯率 (USDHKD)**</w:t>
            </w:r>
          </w:p>
        </w:tc>
        <w:tc>
          <w:tcPr>
            <w:tcW w:type="dxa" w:w="2160"/>
            <w:shd w:fill="F9F9F9" w:val="clear"/>
          </w:tcPr>
          <w:p>
            <w:r>
              <w:t>7.78-7.80 (弱方兌換保證)</w:t>
            </w:r>
          </w:p>
        </w:tc>
        <w:tc>
          <w:tcPr>
            <w:tcW w:type="dxa" w:w="2160"/>
            <w:shd w:fill="F9F9F9" w:val="clear"/>
          </w:tcPr>
          <w:p>
            <w:r>
              <w:t>穩定</w:t>
            </w:r>
          </w:p>
        </w:tc>
        <w:tc>
          <w:tcPr>
            <w:tcW w:type="dxa" w:w="2160"/>
            <w:shd w:fill="F9F9F9" w:val="clear"/>
          </w:tcPr>
          <w:p>
            <w:r>
              <w:t>聯繫匯率制下跟隨美元降息</w:t>
            </w:r>
          </w:p>
        </w:tc>
      </w:tr>
      <w:tr>
        <w:tc>
          <w:tcPr>
            <w:tcW w:type="dxa" w:w="2160"/>
          </w:tcPr>
          <w:p>
            <w:r>
              <w:t>**10 年期美債殖利率**</w:t>
            </w:r>
          </w:p>
        </w:tc>
        <w:tc>
          <w:tcPr>
            <w:tcW w:type="dxa" w:w="2160"/>
          </w:tcPr>
          <w:p>
            <w:r>
              <w:t>~3.8-4.0%</w:t>
            </w:r>
          </w:p>
        </w:tc>
        <w:tc>
          <w:tcPr>
            <w:tcW w:type="dxa" w:w="2160"/>
          </w:tcPr>
          <w:p>
            <w:r>
              <w:t>下行趨勢</w:t>
            </w:r>
          </w:p>
        </w:tc>
        <w:tc>
          <w:tcPr>
            <w:tcW w:type="dxa" w:w="2160"/>
          </w:tcPr>
          <w:p>
            <w:r>
              <w:t>🟢 降低估值折現率、利好成長股</w:t>
            </w:r>
          </w:p>
        </w:tc>
      </w:tr>
    </w:tbl>
    <w:p/>
    <w:p>
      <w:pPr>
        <w:pStyle w:val="Heading3"/>
      </w:pPr>
      <w:r>
        <w:rPr>
          <w:color w:val="003366"/>
        </w:rPr>
        <w:t>「貝森特學說」與貨幣戰風險</w:t>
      </w:r>
    </w:p>
    <w:p>
      <w:pPr>
        <w:ind w:left="567" w:right="567"/>
      </w:pPr>
      <w:r>
        <w:rPr>
          <w:i/>
          <w:color w:val="666666"/>
        </w:rPr>
        <w:t>**關鍵引述** (Citi Research, 8/30): *"財長貝森特是否在推行類似 1985 年廣場協議的協協調貨幣貶值政策？"*</w:t>
      </w:r>
    </w:p>
    <w:p>
      <w:pPr>
        <w:pStyle w:val="ListBullet"/>
      </w:pPr>
      <w:r>
        <w:rPr>
          <w:b/>
        </w:rPr>
        <w:t>核心邏輯</w:t>
      </w:r>
      <w:r>
        <w:t>:</w:t>
      </w:r>
      <w:r>
        <w:t xml:space="preserve"> </w:t>
      </w:r>
      <w:r>
        <w:t>透</w:t>
      </w:r>
      <w:r>
        <w:t>過</w:t>
      </w:r>
      <w:r>
        <w:t>協</w:t>
      </w:r>
      <w:r>
        <w:t>協</w:t>
      </w:r>
      <w:r>
        <w:t>調</w:t>
      </w:r>
      <w:r>
        <w:t>干</w:t>
      </w:r>
      <w:r>
        <w:t>預</w:t>
      </w:r>
      <w:r>
        <w:t>壓</w:t>
      </w:r>
      <w:r>
        <w:t>低</w:t>
      </w:r>
      <w:r>
        <w:t>美</w:t>
      </w:r>
      <w:r>
        <w:t>元</w:t>
      </w:r>
      <w:r>
        <w:t>、</w:t>
      </w:r>
      <w:r>
        <w:t>修</w:t>
      </w:r>
      <w:r>
        <w:t>正</w:t>
      </w:r>
      <w:r>
        <w:t>貿</w:t>
      </w:r>
      <w:r>
        <w:t>易</w:t>
      </w:r>
      <w:r>
        <w:t>失</w:t>
      </w:r>
      <w:r>
        <w:t>衡</w:t>
      </w:r>
      <w:r>
        <w:t>、</w:t>
      </w:r>
      <w:r>
        <w:t>緩</w:t>
      </w:r>
      <w:r>
        <w:t>解</w:t>
      </w:r>
      <w:r>
        <w:t>債</w:t>
      </w:r>
      <w:r>
        <w:t>務</w:t>
      </w:r>
      <w:r>
        <w:t>負</w:t>
      </w:r>
      <w:r>
        <w:t>擔</w:t>
      </w:r>
    </w:p>
    <w:p>
      <w:pPr>
        <w:pStyle w:val="ListBullet"/>
      </w:pPr>
      <w:r>
        <w:rPr>
          <w:b/>
        </w:rPr>
        <w:t>市場含義</w:t>
      </w:r>
      <w:r>
        <w:t>:</w:t>
      </w:r>
      <w:r>
        <w:t xml:space="preserve"> </w:t>
      </w:r>
    </w:p>
    <w:p>
      <w:pPr>
        <w:pStyle w:val="ListBullet"/>
      </w:pPr>
      <w:r>
        <w:t>短</w:t>
      </w:r>
      <w:r>
        <w:t>期</w:t>
      </w:r>
      <w:r>
        <w:t>:</w:t>
      </w:r>
      <w:r>
        <w:t xml:space="preserve"> </w:t>
      </w:r>
      <w:r>
        <w:t>美</w:t>
      </w:r>
      <w:r>
        <w:t>元</w:t>
      </w:r>
      <w:r>
        <w:t>波</w:t>
      </w:r>
      <w:r>
        <w:t>動</w:t>
      </w:r>
      <w:r>
        <w:t>加</w:t>
      </w:r>
      <w:r>
        <w:t>大</w:t>
      </w:r>
      <w:r>
        <w:t>、</w:t>
      </w:r>
      <w:r>
        <w:t>外</w:t>
      </w:r>
      <w:r>
        <w:t>匯</w:t>
      </w:r>
      <w:r>
        <w:t>市</w:t>
      </w:r>
      <w:r>
        <w:t>場</w:t>
      </w:r>
      <w:r>
        <w:t>無</w:t>
      </w:r>
      <w:r>
        <w:t>序</w:t>
      </w:r>
      <w:r>
        <w:t>風</w:t>
      </w:r>
      <w:r>
        <w:t>險</w:t>
      </w:r>
      <w:r>
        <w:t>上</w:t>
      </w:r>
      <w:r>
        <w:t>升</w:t>
      </w:r>
    </w:p>
    <w:p>
      <w:pPr>
        <w:pStyle w:val="ListBullet"/>
      </w:pPr>
      <w:r>
        <w:t>中</w:t>
      </w:r>
      <w:r>
        <w:t>期</w:t>
      </w:r>
      <w:r>
        <w:t>:</w:t>
      </w:r>
      <w:r>
        <w:t xml:space="preserve"> </w:t>
      </w:r>
      <w:r>
        <w:t>新</w:t>
      </w:r>
      <w:r>
        <w:t>興</w:t>
      </w:r>
      <w:r>
        <w:t>市</w:t>
      </w:r>
      <w:r>
        <w:t>場</w:t>
      </w:r>
      <w:r>
        <w:t>貨</w:t>
      </w:r>
      <w:r>
        <w:t>幣</w:t>
      </w:r>
      <w:r>
        <w:t>升</w:t>
      </w:r>
      <w:r>
        <w:t>值</w:t>
      </w:r>
      <w:r>
        <w:t>、</w:t>
      </w:r>
      <w:r>
        <w:t>資</w:t>
      </w:r>
      <w:r>
        <w:t>本</w:t>
      </w:r>
      <w:r>
        <w:t>流</w:t>
      </w:r>
      <w:r>
        <w:t>回</w:t>
      </w:r>
      <w:r>
        <w:t>流</w:t>
      </w:r>
      <w:r>
        <w:t>、</w:t>
      </w:r>
      <w:r>
        <w:t>大</w:t>
      </w:r>
      <w:r>
        <w:t>宗</w:t>
      </w:r>
      <w:r>
        <w:t>商</w:t>
      </w:r>
      <w:r>
        <w:t>品</w:t>
      </w:r>
      <w:r>
        <w:t>以</w:t>
      </w:r>
      <w:r>
        <w:t>美</w:t>
      </w:r>
      <w:r>
        <w:t>元</w:t>
      </w:r>
      <w:r>
        <w:t>計</w:t>
      </w:r>
      <w:r>
        <w:t>價</w:t>
      </w:r>
      <w:r>
        <w:t>上</w:t>
      </w:r>
      <w:r>
        <w:t>漲</w:t>
      </w:r>
    </w:p>
    <w:p>
      <w:pPr>
        <w:pStyle w:val="ListBullet"/>
      </w:pPr>
      <w:r>
        <w:rPr>
          <w:b/>
        </w:rPr>
        <w:t>港股受益</w:t>
      </w:r>
      <w:r>
        <w:t>:</w:t>
      </w:r>
      <w:r>
        <w:t xml:space="preserve"> </w:t>
      </w:r>
      <w:r>
        <w:t>人</w:t>
      </w:r>
      <w:r>
        <w:t>民</w:t>
      </w:r>
      <w:r>
        <w:t>幣</w:t>
      </w:r>
      <w:r>
        <w:t>升</w:t>
      </w:r>
      <w:r>
        <w:t>值</w:t>
      </w:r>
      <w:r>
        <w:t>預</w:t>
      </w:r>
      <w:r>
        <w:t>期</w:t>
      </w:r>
      <w:r>
        <w:t xml:space="preserve"> </w:t>
      </w:r>
      <w:r>
        <w:t>→</w:t>
      </w:r>
      <w:r>
        <w:t xml:space="preserve"> </w:t>
      </w:r>
      <w:r>
        <w:t>北</w:t>
      </w:r>
      <w:r>
        <w:t>向</w:t>
      </w:r>
      <w:r>
        <w:t>資</w:t>
      </w:r>
      <w:r>
        <w:t>金</w:t>
      </w:r>
      <w:r>
        <w:t>持</w:t>
      </w:r>
      <w:r>
        <w:t>續</w:t>
      </w:r>
      <w:r>
        <w:t>流</w:t>
      </w:r>
      <w:r>
        <w:t>入</w:t>
      </w:r>
      <w:r>
        <w:t xml:space="preserve"> </w:t>
      </w:r>
      <w:r>
        <w:t>→</w:t>
      </w:r>
      <w:r>
        <w:t xml:space="preserve"> </w:t>
      </w:r>
      <w:r>
        <w:t>港</w:t>
      </w:r>
      <w:r>
        <w:t>股</w:t>
      </w:r>
      <w:r>
        <w:t>估</w:t>
      </w:r>
      <w:r>
        <w:t>值</w:t>
      </w:r>
      <w:r>
        <w:t>修</w:t>
      </w:r>
      <w:r>
        <w:t>復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技術分析指標</w:t>
      </w:r>
    </w:p>
    <w:p>
      <w:pPr>
        <w:pStyle w:val="Heading3"/>
      </w:pPr>
      <w:r>
        <w:rPr>
          <w:color w:val="003366"/>
        </w:rPr>
        <w:t>關鍵技術指標儀表板 (綜合評分)</w:t>
      </w:r>
    </w:p>
    <w:p>
      <w:pPr>
        <w:spacing w:before="120" w:after="120"/>
        <w:shd w:fill="F4F4F4" w:val="clear"/>
      </w:pPr>
      <w:r>
        <w:rPr>
          <w:rFonts w:ascii="Consolas" w:hAnsi="Consolas"/>
          <w:color w:val="1E1E1E"/>
          <w:sz w:val="18"/>
        </w:rPr>
        <w:t>港股 (恒生指數) 技術評分: 6.5/10 (中性偏多)</w:t>
        <w:br/>
        <w:t>├── 趨勢結構: 6/10 (高低點抬升，但缺乏爆量突破)</w:t>
        <w:br/>
        <w:t>├── 動能指標: 7/10 (RSI/MACD 向好，無頂背離)</w:t>
        <w:br/>
        <w:t>├── 成交量價: 6/10 (縮量企穩，待放量確認)</w:t>
        <w:br/>
        <w:t>├── 市場寬度: 7/10 (上漲家數 &gt; 下跌，科技領漲)</w:t>
        <w:br/>
        <w:t>├── 外資流向: 8/10 (北向資金連續淨流入，結構優化)</w:t>
        <w:br/>
        <w:t>└── 季節性: 5/10 (9 月歷史偏弱，但政策窗口期)</w:t>
        <w:br/>
        <w:br/>
        <w:t>美股 (S&amp;P 500) 技術評分: 5.0/10 (中性)</w:t>
        <w:br/>
        <w:t>├── 趨勢結構: 5/10 (歷史高位附近整理，雙頂風險)</w:t>
        <w:br/>
        <w:t>├── 動能指標: 4/10 (RSI 接近 70，短期超買；MACD 頂背離風險)</w:t>
        <w:br/>
        <w:t>├── 成交量價: 4/10 (上漲縮量、下跌放量，機構派發跡象)</w:t>
        <w:br/>
        <w:t>├── 市場寬度: 5/10 (前 7 巨頭支撐指數，中小盤股滯後)</w:t>
        <w:br/>
        <w:t>├── 情緒指標: 3/10 (Put/Call 0.65 歷史低位、VIX &lt;15 自滿、保證金債務創高)</w:t>
        <w:br/>
        <w:t>└── 季節性: 4/10 (9 月歷史最弱月份、選擇權到期日效應)</w:t>
      </w:r>
    </w:p>
    <w:p>
      <w:pPr>
        <w:pStyle w:val="Heading3"/>
      </w:pPr>
      <w:r>
        <w:rPr>
          <w:color w:val="003366"/>
        </w:rPr>
        <w:t>期權市場隱含波動率結構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指數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VIX/VXHSI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實現波動率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IV-RV 差值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期權市場情緒</w:t>
            </w:r>
          </w:p>
        </w:tc>
      </w:tr>
      <w:tr>
        <w:tc>
          <w:tcPr>
            <w:tcW w:type="dxa" w:w="1728"/>
          </w:tcPr>
          <w:p>
            <w:r>
              <w:t>**S&amp;P 500 (VIX)**</w:t>
            </w:r>
          </w:p>
        </w:tc>
        <w:tc>
          <w:tcPr>
            <w:tcW w:type="dxa" w:w="1728"/>
          </w:tcPr>
          <w:p>
            <w:r>
              <w:t>~14.5</w:t>
            </w:r>
          </w:p>
        </w:tc>
        <w:tc>
          <w:tcPr>
            <w:tcW w:type="dxa" w:w="1728"/>
          </w:tcPr>
          <w:p>
            <w:r>
              <w:t>~12.0</w:t>
            </w:r>
          </w:p>
        </w:tc>
        <w:tc>
          <w:tcPr>
            <w:tcW w:type="dxa" w:w="1728"/>
          </w:tcPr>
          <w:p>
            <w:r>
              <w:t>+2.5</w:t>
            </w:r>
          </w:p>
        </w:tc>
        <w:tc>
          <w:tcPr>
            <w:tcW w:type="dxa" w:w="1728"/>
          </w:tcPr>
          <w:p>
            <w:r>
              <w:t>自滿，隱含波動率偏低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**納斯達克 (VXN)**</w:t>
            </w:r>
          </w:p>
        </w:tc>
        <w:tc>
          <w:tcPr>
            <w:tcW w:type="dxa" w:w="1728"/>
            <w:shd w:fill="F9F9F9" w:val="clear"/>
          </w:tcPr>
          <w:p>
            <w:r>
              <w:t>~18.2</w:t>
            </w:r>
          </w:p>
        </w:tc>
        <w:tc>
          <w:tcPr>
            <w:tcW w:type="dxa" w:w="1728"/>
            <w:shd w:fill="F9F9F9" w:val="clear"/>
          </w:tcPr>
          <w:p>
            <w:r>
              <w:t>~15.5</w:t>
            </w:r>
          </w:p>
        </w:tc>
        <w:tc>
          <w:tcPr>
            <w:tcW w:type="dxa" w:w="1728"/>
            <w:shd w:fill="F9F9F9" w:val="clear"/>
          </w:tcPr>
          <w:p>
            <w:r>
              <w:t>+2.7</w:t>
            </w:r>
          </w:p>
        </w:tc>
        <w:tc>
          <w:tcPr>
            <w:tcW w:type="dxa" w:w="1728"/>
            <w:shd w:fill="F9F9F9" w:val="clear"/>
          </w:tcPr>
          <w:p>
            <w:r>
              <w:t>科技股隱含波動較高但仍偏低</w:t>
            </w:r>
          </w:p>
        </w:tc>
      </w:tr>
      <w:tr>
        <w:tc>
          <w:tcPr>
            <w:tcW w:type="dxa" w:w="1728"/>
          </w:tcPr>
          <w:p>
            <w:r>
              <w:t>**恒生指數 (VHSI)**</w:t>
            </w:r>
          </w:p>
        </w:tc>
        <w:tc>
          <w:tcPr>
            <w:tcW w:type="dxa" w:w="1728"/>
          </w:tcPr>
          <w:p>
            <w:r>
              <w:t>~22.0</w:t>
            </w:r>
          </w:p>
        </w:tc>
        <w:tc>
          <w:tcPr>
            <w:tcW w:type="dxa" w:w="1728"/>
          </w:tcPr>
          <w:p>
            <w:r>
              <w:t>~19.5</w:t>
            </w:r>
          </w:p>
        </w:tc>
        <w:tc>
          <w:tcPr>
            <w:tcW w:type="dxa" w:w="1728"/>
          </w:tcPr>
          <w:p>
            <w:r>
              <w:t>+2.5</w:t>
            </w:r>
          </w:p>
        </w:tc>
        <w:tc>
          <w:tcPr>
            <w:tcW w:type="dxa" w:w="1728"/>
          </w:tcPr>
          <w:p>
            <w:r>
              <w:t>正常區間，無極端恐慌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**結構性信號**</w:t>
            </w:r>
          </w:p>
        </w:tc>
        <w:tc>
          <w:tcPr>
            <w:tcW w:type="dxa" w:w="1728"/>
            <w:shd w:fill="F9F9F9" w:val="clear"/>
          </w:tcPr>
          <w:p>
            <w:r/>
          </w:p>
        </w:tc>
        <w:tc>
          <w:tcPr>
            <w:tcW w:type="dxa" w:w="1728"/>
            <w:shd w:fill="F9F9F9" w:val="clear"/>
          </w:tcPr>
          <w:p>
            <w:r/>
          </w:p>
        </w:tc>
        <w:tc>
          <w:tcPr>
            <w:tcW w:type="dxa" w:w="1728"/>
            <w:shd w:fill="F9F9F9" w:val="clear"/>
          </w:tcPr>
          <w:p>
            <w:r/>
          </w:p>
        </w:tc>
        <w:tc>
          <w:tcPr>
            <w:tcW w:type="dxa" w:w="1728"/>
            <w:shd w:fill="F9F9F9" w:val="clear"/>
          </w:tcPr>
          <w:p>
            <w:r>
              <w:t>**美股隱波過低 = 尾部風險被低估**</w:t>
            </w:r>
          </w:p>
        </w:tc>
      </w:tr>
    </w:tbl>
    <w:p/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未來 1-5 個交易日走勢預測</w:t>
      </w:r>
    </w:p>
    <w:p>
      <w:pPr>
        <w:pStyle w:val="Heading3"/>
      </w:pPr>
      <w:r>
        <w:rPr>
          <w:color w:val="003366"/>
        </w:rPr>
        <w:t>場景分析矩陣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場景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機率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觸發條件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港股 (HSI)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美股 (SPX)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納指 (NDX)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操作建議</w:t>
            </w:r>
          </w:p>
        </w:tc>
      </w:tr>
      <w:tr>
        <w:tc>
          <w:tcPr>
            <w:tcW w:type="dxa" w:w="1234"/>
          </w:tcPr>
          <w:p>
            <w:r>
              <w:t>**基準情境**</w:t>
            </w:r>
          </w:p>
        </w:tc>
        <w:tc>
          <w:tcPr>
            <w:tcW w:type="dxa" w:w="1234"/>
          </w:tcPr>
          <w:p>
            <w:r>
              <w:t>**50%**</w:t>
            </w:r>
          </w:p>
        </w:tc>
        <w:tc>
          <w:tcPr>
            <w:tcW w:type="dxa" w:w="1234"/>
          </w:tcPr>
          <w:p>
            <w:r>
              <w:t>就業數據符合預期、地緣政治可控、無系統性風險</w:t>
            </w:r>
          </w:p>
        </w:tc>
        <w:tc>
          <w:tcPr>
            <w:tcW w:type="dxa" w:w="1234"/>
          </w:tcPr>
          <w:p>
            <w:r>
              <w:t>**21,200-21,800** 震盪上行</w:t>
            </w:r>
          </w:p>
        </w:tc>
        <w:tc>
          <w:tcPr>
            <w:tcW w:type="dxa" w:w="1234"/>
          </w:tcPr>
          <w:p>
            <w:r>
              <w:t>**5,850-5,950** 窄幅整理</w:t>
            </w:r>
          </w:p>
        </w:tc>
        <w:tc>
          <w:tcPr>
            <w:tcW w:type="dxa" w:w="1234"/>
          </w:tcPr>
          <w:p>
            <w:r>
              <w:t>**20,000-20,500** 震盪</w:t>
            </w:r>
          </w:p>
        </w:tc>
        <w:tc>
          <w:tcPr>
            <w:tcW w:type="dxa" w:w="1234"/>
          </w:tcPr>
          <w:p>
            <w:r>
              <w:t>港股超配科技成長，美股防禦性板塊對沖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**樂觀情境**</w:t>
            </w:r>
          </w:p>
        </w:tc>
        <w:tc>
          <w:tcPr>
            <w:tcW w:type="dxa" w:w="1234"/>
            <w:shd w:fill="F9F9F9" w:val="clear"/>
          </w:tcPr>
          <w:p>
            <w:r>
              <w:t>**20%**</w:t>
            </w:r>
          </w:p>
        </w:tc>
        <w:tc>
          <w:tcPr>
            <w:tcW w:type="dxa" w:w="1234"/>
            <w:shd w:fill="F9F9F9" w:val="clear"/>
          </w:tcPr>
          <w:p>
            <w:r>
              <w:t>就業數據降溫明確、美聯儲鴿派、伊朗局勢緩和</w:t>
            </w:r>
          </w:p>
        </w:tc>
        <w:tc>
          <w:tcPr>
            <w:tcW w:type="dxa" w:w="1234"/>
            <w:shd w:fill="F9F9F9" w:val="clear"/>
          </w:tcPr>
          <w:p>
            <w:r>
              <w:t>**21,800-22,500** 突破上行</w:t>
            </w:r>
          </w:p>
        </w:tc>
        <w:tc>
          <w:tcPr>
            <w:tcW w:type="dxa" w:w="1234"/>
            <w:shd w:fill="F9F9F9" w:val="clear"/>
          </w:tcPr>
          <w:p>
            <w:r>
              <w:t>**5,950-6,100** 創新高</w:t>
            </w:r>
          </w:p>
        </w:tc>
        <w:tc>
          <w:tcPr>
            <w:tcW w:type="dxa" w:w="1234"/>
            <w:shd w:fill="F9F9F9" w:val="clear"/>
          </w:tcPr>
          <w:p>
            <w:r>
              <w:t>**20,500-21,200** 領漲</w:t>
            </w:r>
          </w:p>
        </w:tc>
        <w:tc>
          <w:tcPr>
            <w:tcW w:type="dxa" w:w="1234"/>
            <w:shd w:fill="F9F9F9" w:val="clear"/>
          </w:tcPr>
          <w:p>
            <w:r>
              <w:t>增加風險敞口，科技/週期雙輪動</w:t>
            </w:r>
          </w:p>
        </w:tc>
      </w:tr>
      <w:tr>
        <w:tc>
          <w:tcPr>
            <w:tcW w:type="dxa" w:w="1234"/>
          </w:tcPr>
          <w:p>
            <w:r>
              <w:t>**悲觀情境**</w:t>
            </w:r>
          </w:p>
        </w:tc>
        <w:tc>
          <w:tcPr>
            <w:tcW w:type="dxa" w:w="1234"/>
          </w:tcPr>
          <w:p>
            <w:r>
              <w:t>**20%**</w:t>
            </w:r>
          </w:p>
        </w:tc>
        <w:tc>
          <w:tcPr>
            <w:tcW w:type="dxa" w:w="1234"/>
          </w:tcPr>
          <w:p>
            <w:r>
              <w:t>就業數據過熱/過弱、伊朗報復升級、油價衝上 $90</w:t>
            </w:r>
          </w:p>
        </w:tc>
        <w:tc>
          <w:tcPr>
            <w:tcW w:type="dxa" w:w="1234"/>
          </w:tcPr>
          <w:p>
            <w:r>
              <w:t>**20,000-20,500** 回測支撐</w:t>
            </w:r>
          </w:p>
        </w:tc>
        <w:tc>
          <w:tcPr>
            <w:tcW w:type="dxa" w:w="1234"/>
          </w:tcPr>
          <w:p>
            <w:r>
              <w:t>**5,600-5,700** 回調 3-5%</w:t>
            </w:r>
          </w:p>
        </w:tc>
        <w:tc>
          <w:tcPr>
            <w:tcW w:type="dxa" w:w="1234"/>
          </w:tcPr>
          <w:p>
            <w:r>
              <w:t>**19,000-19,500** 領跌</w:t>
            </w:r>
          </w:p>
        </w:tc>
        <w:tc>
          <w:tcPr>
            <w:tcW w:type="dxa" w:w="1234"/>
          </w:tcPr>
          <w:p>
            <w:r>
              <w:t>減倉、買入看跌期權、增持現金/黃金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**極端尾部風險**</w:t>
            </w:r>
          </w:p>
        </w:tc>
        <w:tc>
          <w:tcPr>
            <w:tcW w:type="dxa" w:w="1234"/>
            <w:shd w:fill="F9F9F9" w:val="clear"/>
          </w:tcPr>
          <w:p>
            <w:r>
              <w:t>**10%**</w:t>
            </w:r>
          </w:p>
        </w:tc>
        <w:tc>
          <w:tcPr>
            <w:tcW w:type="dxa" w:w="1234"/>
            <w:shd w:fill="F9F9F9" w:val="clear"/>
          </w:tcPr>
          <w:p>
            <w:r>
              <w:t>地緣政治失控/系統性金融事件/流動性危機</w:t>
            </w:r>
          </w:p>
        </w:tc>
        <w:tc>
          <w:tcPr>
            <w:tcW w:type="dxa" w:w="1234"/>
            <w:shd w:fill="F9F9F9" w:val="clear"/>
          </w:tcPr>
          <w:p>
            <w:r>
              <w:t>**&lt;19,500** 暴跌</w:t>
            </w:r>
          </w:p>
        </w:tc>
        <w:tc>
          <w:tcPr>
            <w:tcW w:type="dxa" w:w="1234"/>
            <w:shd w:fill="F9F9F9" w:val="clear"/>
          </w:tcPr>
          <w:p>
            <w:r>
              <w:t>**&lt;5,500** 閃崩</w:t>
            </w:r>
          </w:p>
        </w:tc>
        <w:tc>
          <w:tcPr>
            <w:tcW w:type="dxa" w:w="1234"/>
            <w:shd w:fill="F9F9F9" w:val="clear"/>
          </w:tcPr>
          <w:p>
            <w:r>
              <w:t>**&lt;18,500** 暴跌</w:t>
            </w:r>
          </w:p>
        </w:tc>
        <w:tc>
          <w:tcPr>
            <w:tcW w:type="dxa" w:w="1234"/>
            <w:shd w:fill="F9F9F9" w:val="clear"/>
          </w:tcPr>
          <w:p>
            <w:r>
              <w:t>尾部對沖 (VIX 期貨、遠期看跌期權)、現金為王</w:t>
            </w:r>
          </w:p>
        </w:tc>
      </w:tr>
    </w:tbl>
    <w:p/>
    <w:p>
      <w:pPr>
        <w:pStyle w:val="Heading3"/>
      </w:pPr>
      <w:r>
        <w:rPr>
          <w:color w:val="003366"/>
        </w:rPr>
        <w:t>逐日交易策略建議</w:t>
      </w:r>
    </w:p>
    <w:p>
      <w:pPr>
        <w:pStyle w:val="Heading4"/>
      </w:pPr>
      <w:r>
        <w:rPr>
          <w:color w:val="003366"/>
        </w:rPr>
        <w:t>第 1 天 (週一, 8/31) - **地緣政治消化日**</w:t>
      </w:r>
    </w:p>
    <w:p>
      <w:pPr>
        <w:pStyle w:val="ListBullet"/>
      </w:pPr>
      <w:r>
        <w:rPr>
          <w:b/>
        </w:rPr>
        <w:t>港股</w:t>
      </w:r>
      <w:r>
        <w:t>:</w:t>
      </w:r>
      <w:r>
        <w:t xml:space="preserve"> </w:t>
      </w:r>
      <w:r>
        <w:t>低</w:t>
      </w:r>
      <w:r>
        <w:t>開</w:t>
      </w:r>
      <w:r>
        <w:t>高</w:t>
      </w:r>
      <w:r>
        <w:t>走</w:t>
      </w:r>
      <w:r>
        <w:t>機</w:t>
      </w:r>
      <w:r>
        <w:t>率</w:t>
      </w:r>
      <w:r>
        <w:t>大</w:t>
      </w:r>
      <w:r>
        <w:t>，</w:t>
      </w:r>
      <w:r>
        <w:t>關</w:t>
      </w:r>
      <w:r>
        <w:t>注</w:t>
      </w:r>
      <w:r>
        <w:t xml:space="preserve"> </w:t>
      </w:r>
      <w:r>
        <w:t>2</w:t>
      </w:r>
      <w:r>
        <w:t>1</w:t>
      </w:r>
      <w:r>
        <w:t>,</w:t>
      </w:r>
      <w:r>
        <w:t>0</w:t>
      </w:r>
      <w:r>
        <w:t>0</w:t>
      </w:r>
      <w:r>
        <w:t>0</w:t>
      </w:r>
      <w:r>
        <w:t xml:space="preserve"> </w:t>
      </w:r>
      <w:r>
        <w:t>支</w:t>
      </w:r>
      <w:r>
        <w:t>撐</w:t>
      </w:r>
      <w:r>
        <w:t>，</w:t>
      </w:r>
      <w:r>
        <w:t>科</w:t>
      </w:r>
      <w:r>
        <w:t>技</w:t>
      </w:r>
      <w:r>
        <w:t>成</w:t>
      </w:r>
      <w:r>
        <w:t>長</w:t>
      </w:r>
      <w:r>
        <w:t>股</w:t>
      </w:r>
      <w:r>
        <w:t>抗</w:t>
      </w:r>
      <w:r>
        <w:t>跌</w:t>
      </w:r>
    </w:p>
    <w:p>
      <w:pPr>
        <w:pStyle w:val="ListBullet"/>
      </w:pPr>
      <w:r>
        <w:rPr>
          <w:b/>
        </w:rPr>
        <w:t>美股</w:t>
      </w:r>
      <w:r>
        <w:t>:</w:t>
      </w:r>
      <w:r>
        <w:t xml:space="preserve"> </w:t>
      </w:r>
      <w:r>
        <w:t>期</w:t>
      </w:r>
      <w:r>
        <w:t>貨</w:t>
      </w:r>
      <w:r>
        <w:t>低</w:t>
      </w:r>
      <w:r>
        <w:t>開</w:t>
      </w:r>
      <w:r>
        <w:t xml:space="preserve"> </w:t>
      </w:r>
      <w:r>
        <w:t>(</w:t>
      </w:r>
      <w:r>
        <w:t>道</w:t>
      </w:r>
      <w:r>
        <w:t>指</w:t>
      </w:r>
      <w:r>
        <w:t xml:space="preserve"> </w:t>
      </w:r>
      <w:r>
        <w:t>-</w:t>
      </w:r>
      <w:r>
        <w:t>0</w:t>
      </w:r>
      <w:r>
        <w:t>.</w:t>
      </w:r>
      <w:r>
        <w:t>3</w:t>
      </w:r>
      <w:r>
        <w:t>%</w:t>
      </w:r>
      <w:r>
        <w:t>)</w:t>
      </w:r>
      <w:r>
        <w:t>，</w:t>
      </w:r>
      <w:r>
        <w:t>開</w:t>
      </w:r>
      <w:r>
        <w:t>盤</w:t>
      </w:r>
      <w:r>
        <w:t>後</w:t>
      </w:r>
      <w:r>
        <w:t>觀</w:t>
      </w:r>
      <w:r>
        <w:t>察</w:t>
      </w:r>
      <w:r>
        <w:t>油</w:t>
      </w:r>
      <w:r>
        <w:t>價</w:t>
      </w:r>
      <w:r>
        <w:t>/</w:t>
      </w:r>
      <w:r>
        <w:t>黃</w:t>
      </w:r>
      <w:r>
        <w:t>金</w:t>
      </w:r>
      <w:r>
        <w:t>反</w:t>
      </w:r>
      <w:r>
        <w:t>應</w:t>
      </w:r>
      <w:r>
        <w:t>，</w:t>
      </w:r>
      <w:r>
        <w:t>避</w:t>
      </w:r>
      <w:r>
        <w:t>免</w:t>
      </w:r>
      <w:r>
        <w:t>追</w:t>
      </w:r>
      <w:r>
        <w:t>高</w:t>
      </w:r>
    </w:p>
    <w:p>
      <w:pPr>
        <w:pStyle w:val="ListBullet"/>
      </w:pPr>
      <w:r>
        <w:rPr>
          <w:b/>
        </w:rPr>
        <w:t>關鍵觀察</w:t>
      </w:r>
      <w:r>
        <w:t>:</w:t>
      </w:r>
      <w:r>
        <w:t xml:space="preserve"> </w:t>
      </w:r>
      <w:r>
        <w:t>伊</w:t>
      </w:r>
      <w:r>
        <w:t>朗</w:t>
      </w:r>
      <w:r>
        <w:t>是</w:t>
      </w:r>
      <w:r>
        <w:t>否</w:t>
      </w:r>
      <w:r>
        <w:t>報</w:t>
      </w:r>
      <w:r>
        <w:t>復</w:t>
      </w:r>
      <w:r>
        <w:t>、</w:t>
      </w:r>
      <w:r>
        <w:t>油</w:t>
      </w:r>
      <w:r>
        <w:t>價</w:t>
      </w:r>
      <w:r>
        <w:t>能</w:t>
      </w:r>
      <w:r>
        <w:t>否</w:t>
      </w:r>
      <w:r>
        <w:t>站</w:t>
      </w:r>
      <w:r>
        <w:t>上</w:t>
      </w:r>
      <w:r>
        <w:t xml:space="preserve"> </w:t>
      </w:r>
      <w:r>
        <w:t>$</w:t>
      </w:r>
      <w:r>
        <w:t>8</w:t>
      </w:r>
      <w:r>
        <w:t>0</w:t>
      </w:r>
      <w:r>
        <w:t>、</w:t>
      </w:r>
      <w:r>
        <w:t>V</w:t>
      </w:r>
      <w:r>
        <w:t>I</w:t>
      </w:r>
      <w:r>
        <w:t>X</w:t>
      </w:r>
      <w:r>
        <w:t xml:space="preserve"> </w:t>
      </w:r>
      <w:r>
        <w:t>是</w:t>
      </w:r>
      <w:r>
        <w:t>否</w:t>
      </w:r>
      <w:r>
        <w:t>升</w:t>
      </w:r>
      <w:r>
        <w:t>破</w:t>
      </w:r>
      <w:r>
        <w:t xml:space="preserve"> </w:t>
      </w:r>
      <w:r>
        <w:t>1</w:t>
      </w:r>
      <w:r>
        <w:t>8</w:t>
      </w:r>
    </w:p>
    <w:p>
      <w:pPr>
        <w:pStyle w:val="Heading4"/>
      </w:pPr>
      <w:r>
        <w:rPr>
          <w:color w:val="003366"/>
        </w:rPr>
        <w:t>第 2 天 (週二, 9/1) - **數據前夕整理**</w:t>
      </w:r>
    </w:p>
    <w:p>
      <w:pPr>
        <w:pStyle w:val="ListBullet"/>
      </w:pPr>
      <w:r>
        <w:rPr>
          <w:b/>
        </w:rPr>
        <w:t>港股</w:t>
      </w:r>
      <w:r>
        <w:t>:</w:t>
      </w:r>
      <w:r>
        <w:t xml:space="preserve"> </w:t>
      </w:r>
      <w:r>
        <w:t>受</w:t>
      </w:r>
      <w:r>
        <w:t>美</w:t>
      </w:r>
      <w:r>
        <w:t>股</w:t>
      </w:r>
      <w:r>
        <w:t>夜</w:t>
      </w:r>
      <w:r>
        <w:t>盤</w:t>
      </w:r>
      <w:r>
        <w:t>影</w:t>
      </w:r>
      <w:r>
        <w:t>響</w:t>
      </w:r>
      <w:r>
        <w:t>，</w:t>
      </w:r>
      <w:r>
        <w:t>區</w:t>
      </w:r>
      <w:r>
        <w:t>間</w:t>
      </w:r>
      <w:r>
        <w:t>震</w:t>
      </w:r>
      <w:r>
        <w:t>盪</w:t>
      </w:r>
      <w:r>
        <w:t>，</w:t>
      </w:r>
      <w:r>
        <w:t>北</w:t>
      </w:r>
      <w:r>
        <w:t>向</w:t>
      </w:r>
      <w:r>
        <w:t>資</w:t>
      </w:r>
      <w:r>
        <w:t>金</w:t>
      </w:r>
      <w:r>
        <w:t>流</w:t>
      </w:r>
      <w:r>
        <w:t>向</w:t>
      </w:r>
      <w:r>
        <w:t>為</w:t>
      </w:r>
      <w:r>
        <w:t>先</w:t>
      </w:r>
      <w:r>
        <w:t>行</w:t>
      </w:r>
      <w:r>
        <w:t>指</w:t>
      </w:r>
      <w:r>
        <w:t>標</w:t>
      </w:r>
    </w:p>
    <w:p>
      <w:pPr>
        <w:pStyle w:val="ListBullet"/>
      </w:pPr>
      <w:r>
        <w:rPr>
          <w:b/>
        </w:rPr>
        <w:t>美股</w:t>
      </w:r>
      <w:r>
        <w:t>:</w:t>
      </w:r>
      <w:r>
        <w:t xml:space="preserve"> </w:t>
      </w:r>
      <w:r>
        <w:t>減</w:t>
      </w:r>
      <w:r>
        <w:t>倉</w:t>
      </w:r>
      <w:r>
        <w:t>整</w:t>
      </w:r>
      <w:r>
        <w:t>理</w:t>
      </w:r>
      <w:r>
        <w:t>，</w:t>
      </w:r>
      <w:r>
        <w:t>J</w:t>
      </w:r>
      <w:r>
        <w:t>O</w:t>
      </w:r>
      <w:r>
        <w:t>L</w:t>
      </w:r>
      <w:r>
        <w:t>T</w:t>
      </w:r>
      <w:r>
        <w:t>S</w:t>
      </w:r>
      <w:r>
        <w:t xml:space="preserve"> </w:t>
      </w:r>
      <w:r>
        <w:t>職</w:t>
      </w:r>
      <w:r>
        <w:t>位</w:t>
      </w:r>
      <w:r>
        <w:t>空</w:t>
      </w:r>
      <w:r>
        <w:t>缺</w:t>
      </w:r>
      <w:r>
        <w:t xml:space="preserve"> </w:t>
      </w:r>
      <w:r>
        <w:t>(</w:t>
      </w:r>
      <w:r>
        <w:t>週</w:t>
      </w:r>
      <w:r>
        <w:t>三</w:t>
      </w:r>
      <w:r>
        <w:t>公</w:t>
      </w:r>
      <w:r>
        <w:t>布</w:t>
      </w:r>
      <w:r>
        <w:t>)</w:t>
      </w:r>
      <w:r>
        <w:t xml:space="preserve"> </w:t>
      </w:r>
      <w:r>
        <w:t>預</w:t>
      </w:r>
      <w:r>
        <w:t>期</w:t>
      </w:r>
      <w:r>
        <w:t>管</w:t>
      </w:r>
      <w:r>
        <w:t>理</w:t>
      </w:r>
    </w:p>
    <w:p>
      <w:pPr>
        <w:pStyle w:val="ListBullet"/>
      </w:pPr>
      <w:r>
        <w:rPr>
          <w:b/>
        </w:rPr>
        <w:t>策略</w:t>
      </w:r>
      <w:r>
        <w:t>:</w:t>
      </w:r>
      <w:r>
        <w:t xml:space="preserve"> </w:t>
      </w:r>
      <w:r>
        <w:t>港</w:t>
      </w:r>
      <w:r>
        <w:t>股</w:t>
      </w:r>
      <w:r>
        <w:t>可</w:t>
      </w:r>
      <w:r>
        <w:t>於</w:t>
      </w:r>
      <w:r>
        <w:t>回</w:t>
      </w:r>
      <w:r>
        <w:t>調</w:t>
      </w:r>
      <w:r>
        <w:t>至</w:t>
      </w:r>
      <w:r>
        <w:t xml:space="preserve"> </w:t>
      </w:r>
      <w:r>
        <w:t>2</w:t>
      </w:r>
      <w:r>
        <w:t>1</w:t>
      </w:r>
      <w:r>
        <w:t>,</w:t>
      </w:r>
      <w:r>
        <w:t>0</w:t>
      </w:r>
      <w:r>
        <w:t>0</w:t>
      </w:r>
      <w:r>
        <w:t>0</w:t>
      </w:r>
      <w:r>
        <w:t xml:space="preserve"> </w:t>
      </w:r>
      <w:r>
        <w:t>附</w:t>
      </w:r>
      <w:r>
        <w:t>近</w:t>
      </w:r>
      <w:r>
        <w:t>分</w:t>
      </w:r>
      <w:r>
        <w:t>批</w:t>
      </w:r>
      <w:r>
        <w:t>吸</w:t>
      </w:r>
      <w:r>
        <w:t>籌</w:t>
      </w:r>
      <w:r>
        <w:t>優</w:t>
      </w:r>
      <w:r>
        <w:t>質</w:t>
      </w:r>
      <w:r>
        <w:t>科</w:t>
      </w:r>
      <w:r>
        <w:t>技</w:t>
      </w:r>
      <w:r>
        <w:t>股</w:t>
      </w:r>
    </w:p>
    <w:p>
      <w:pPr>
        <w:pStyle w:val="Heading4"/>
      </w:pPr>
      <w:r>
        <w:rPr>
          <w:color w:val="003366"/>
        </w:rPr>
        <w:t>第 3 天 (週三, 9/2) - **JOLTS + ISM 製造業**</w:t>
      </w:r>
    </w:p>
    <w:p>
      <w:pPr>
        <w:pStyle w:val="ListBullet"/>
      </w:pPr>
      <w:r>
        <w:rPr>
          <w:b/>
        </w:rPr>
        <w:t>關鍵數據</w:t>
      </w:r>
      <w:r>
        <w:t>:</w:t>
      </w:r>
      <w:r>
        <w:t xml:space="preserve"> </w:t>
      </w:r>
      <w:r>
        <w:t>J</w:t>
      </w:r>
      <w:r>
        <w:t>O</w:t>
      </w:r>
      <w:r>
        <w:t>L</w:t>
      </w:r>
      <w:r>
        <w:t>T</w:t>
      </w:r>
      <w:r>
        <w:t>S</w:t>
      </w:r>
      <w:r>
        <w:t xml:space="preserve"> </w:t>
      </w:r>
      <w:r>
        <w:t>(</w:t>
      </w:r>
      <w:r>
        <w:t>預</w:t>
      </w:r>
      <w:r>
        <w:t>期</w:t>
      </w:r>
      <w:r>
        <w:t xml:space="preserve"> </w:t>
      </w:r>
      <w:r>
        <w:t>7</w:t>
      </w:r>
      <w:r>
        <w:t>5</w:t>
      </w:r>
      <w:r>
        <w:t>0</w:t>
      </w:r>
      <w:r>
        <w:t xml:space="preserve"> </w:t>
      </w:r>
      <w:r>
        <w:t>萬</w:t>
      </w:r>
      <w:r>
        <w:t>)</w:t>
      </w:r>
      <w:r>
        <w:t>、</w:t>
      </w:r>
      <w:r>
        <w:t>I</w:t>
      </w:r>
      <w:r>
        <w:t>S</w:t>
      </w:r>
      <w:r>
        <w:t>M</w:t>
      </w:r>
      <w:r>
        <w:t xml:space="preserve"> </w:t>
      </w:r>
      <w:r>
        <w:t>製</w:t>
      </w:r>
      <w:r>
        <w:t>造</w:t>
      </w:r>
      <w:r>
        <w:t>業</w:t>
      </w:r>
      <w:r>
        <w:t xml:space="preserve"> </w:t>
      </w:r>
      <w:r>
        <w:t>(</w:t>
      </w:r>
      <w:r>
        <w:t>預</w:t>
      </w:r>
      <w:r>
        <w:t>期</w:t>
      </w:r>
      <w:r>
        <w:t xml:space="preserve"> </w:t>
      </w:r>
      <w:r>
        <w:t>4</w:t>
      </w:r>
      <w:r>
        <w:t>7</w:t>
      </w:r>
      <w:r>
        <w:t>.</w:t>
      </w:r>
      <w:r>
        <w:t>5</w:t>
      </w:r>
      <w:r>
        <w:t>)</w:t>
      </w:r>
    </w:p>
    <w:p>
      <w:pPr>
        <w:pStyle w:val="ListBullet"/>
      </w:pPr>
      <w:r>
        <w:rPr>
          <w:b/>
        </w:rPr>
        <w:t>市場邏輯</w:t>
      </w:r>
      <w:r>
        <w:t>:</w:t>
      </w:r>
      <w:r>
        <w:t xml:space="preserve"> </w:t>
      </w:r>
      <w:r>
        <w:t>數</w:t>
      </w:r>
      <w:r>
        <w:t>據</w:t>
      </w:r>
      <w:r>
        <w:t>弱</w:t>
      </w:r>
      <w:r>
        <w:t xml:space="preserve"> </w:t>
      </w:r>
      <w:r>
        <w:t>→</w:t>
      </w:r>
      <w:r>
        <w:t xml:space="preserve"> </w:t>
      </w:r>
      <w:r>
        <w:t>降</w:t>
      </w:r>
      <w:r>
        <w:t>息</w:t>
      </w:r>
      <w:r>
        <w:t>預</w:t>
      </w:r>
      <w:r>
        <w:t>期</w:t>
      </w:r>
      <w:r>
        <w:t>升</w:t>
      </w:r>
      <w:r>
        <w:t>溫</w:t>
      </w:r>
      <w:r>
        <w:t xml:space="preserve"> </w:t>
      </w:r>
      <w:r>
        <w:t>→</w:t>
      </w:r>
      <w:r>
        <w:t xml:space="preserve"> </w:t>
      </w:r>
      <w:r>
        <w:t>債</w:t>
      </w:r>
      <w:r>
        <w:t>券</w:t>
      </w:r>
      <w:r>
        <w:t>價</w:t>
      </w:r>
      <w:r>
        <w:t>格</w:t>
      </w:r>
      <w:r>
        <w:t>上</w:t>
      </w:r>
      <w:r>
        <w:t>漲</w:t>
      </w:r>
      <w:r>
        <w:t>/</w:t>
      </w:r>
      <w:r>
        <w:t>殖</w:t>
      </w:r>
      <w:r>
        <w:t>利</w:t>
      </w:r>
      <w:r>
        <w:t>率</w:t>
      </w:r>
      <w:r>
        <w:t>下</w:t>
      </w:r>
      <w:r>
        <w:t>行</w:t>
      </w:r>
      <w:r>
        <w:t xml:space="preserve"> </w:t>
      </w:r>
      <w:r>
        <w:t>→</w:t>
      </w:r>
      <w:r>
        <w:t xml:space="preserve"> </w:t>
      </w:r>
      <w:r>
        <w:t>成</w:t>
      </w:r>
      <w:r>
        <w:t>長</w:t>
      </w:r>
      <w:r>
        <w:t>股</w:t>
      </w:r>
      <w:r>
        <w:t>受</w:t>
      </w:r>
      <w:r>
        <w:t>益</w:t>
      </w:r>
    </w:p>
    <w:p>
      <w:pPr>
        <w:pStyle w:val="ListBullet"/>
      </w:pPr>
      <w:r>
        <w:rPr>
          <w:b/>
        </w:rPr>
        <w:t>風險</w:t>
      </w:r>
      <w:r>
        <w:t>:</w:t>
      </w:r>
      <w:r>
        <w:t xml:space="preserve"> </w:t>
      </w:r>
      <w:r>
        <w:t>數</w:t>
      </w:r>
      <w:r>
        <w:t>據</w:t>
      </w:r>
      <w:r>
        <w:t>強</w:t>
      </w:r>
      <w:r>
        <w:t xml:space="preserve"> </w:t>
      </w:r>
      <w:r>
        <w:t>→</w:t>
      </w:r>
      <w:r>
        <w:t xml:space="preserve"> </w:t>
      </w:r>
      <w:r>
        <w:t>「</w:t>
      </w:r>
      <w:r>
        <w:t>不</w:t>
      </w:r>
      <w:r>
        <w:t>降</w:t>
      </w:r>
      <w:r>
        <w:t>息</w:t>
      </w:r>
      <w:r>
        <w:t>」</w:t>
      </w:r>
      <w:r>
        <w:t>交</w:t>
      </w:r>
      <w:r>
        <w:t>易</w:t>
      </w:r>
      <w:r>
        <w:t>重</w:t>
      </w:r>
      <w:r>
        <w:t>燃</w:t>
      </w:r>
      <w:r>
        <w:t xml:space="preserve"> </w:t>
      </w:r>
      <w:r>
        <w:t>→</w:t>
      </w:r>
      <w:r>
        <w:t xml:space="preserve"> </w:t>
      </w:r>
      <w:r>
        <w:t>科</w:t>
      </w:r>
      <w:r>
        <w:t>技</w:t>
      </w:r>
      <w:r>
        <w:t>股</w:t>
      </w:r>
      <w:r>
        <w:t>估</w:t>
      </w:r>
      <w:r>
        <w:t>值</w:t>
      </w:r>
      <w:r>
        <w:t>壓</w:t>
      </w:r>
      <w:r>
        <w:t>力</w:t>
      </w:r>
    </w:p>
    <w:p>
      <w:pPr>
        <w:pStyle w:val="Heading4"/>
      </w:pPr>
      <w:r>
        <w:rPr>
          <w:color w:val="003366"/>
        </w:rPr>
        <w:t>第 4 天 (週四, 9/3) - **ISM 服務業 + ADP 就業**</w:t>
      </w:r>
    </w:p>
    <w:p>
      <w:pPr>
        <w:pStyle w:val="ListBullet"/>
      </w:pPr>
      <w:r>
        <w:rPr>
          <w:b/>
        </w:rPr>
        <w:t>關鍵數據</w:t>
      </w:r>
      <w:r>
        <w:t>:</w:t>
      </w:r>
      <w:r>
        <w:t xml:space="preserve"> </w:t>
      </w:r>
      <w:r>
        <w:t>A</w:t>
      </w:r>
      <w:r>
        <w:t>D</w:t>
      </w:r>
      <w:r>
        <w:t>P</w:t>
      </w:r>
      <w:r>
        <w:t xml:space="preserve"> </w:t>
      </w:r>
      <w:r>
        <w:t>就</w:t>
      </w:r>
      <w:r>
        <w:t>業</w:t>
      </w:r>
      <w:r>
        <w:t xml:space="preserve"> </w:t>
      </w:r>
      <w:r>
        <w:t>(</w:t>
      </w:r>
      <w:r>
        <w:t>非</w:t>
      </w:r>
      <w:r>
        <w:t>農</w:t>
      </w:r>
      <w:r>
        <w:t>前</w:t>
      </w:r>
      <w:r>
        <w:t>哨</w:t>
      </w:r>
      <w:r>
        <w:t>)</w:t>
      </w:r>
      <w:r>
        <w:t>、</w:t>
      </w:r>
      <w:r>
        <w:t>I</w:t>
      </w:r>
      <w:r>
        <w:t>S</w:t>
      </w:r>
      <w:r>
        <w:t>M</w:t>
      </w:r>
      <w:r>
        <w:t xml:space="preserve"> </w:t>
      </w:r>
      <w:r>
        <w:t>服</w:t>
      </w:r>
      <w:r>
        <w:t>務</w:t>
      </w:r>
      <w:r>
        <w:t>業</w:t>
      </w:r>
      <w:r>
        <w:t xml:space="preserve"> </w:t>
      </w:r>
      <w:r>
        <w:t>(</w:t>
      </w:r>
      <w:r>
        <w:t>佔</w:t>
      </w:r>
      <w:r>
        <w:t xml:space="preserve"> </w:t>
      </w:r>
      <w:r>
        <w:t>G</w:t>
      </w:r>
      <w:r>
        <w:t>D</w:t>
      </w:r>
      <w:r>
        <w:t>P</w:t>
      </w:r>
      <w:r>
        <w:t xml:space="preserve"> </w:t>
      </w:r>
      <w:r>
        <w:t>7</w:t>
      </w:r>
      <w:r>
        <w:t>0</w:t>
      </w:r>
      <w:r>
        <w:t>%</w:t>
      </w:r>
      <w:r>
        <w:t>+</w:t>
      </w:r>
      <w:r>
        <w:t>)</w:t>
      </w:r>
    </w:p>
    <w:p>
      <w:pPr>
        <w:pStyle w:val="ListBullet"/>
      </w:pPr>
      <w:r>
        <w:rPr>
          <w:b/>
        </w:rPr>
        <w:t>港股</w:t>
      </w:r>
      <w:r>
        <w:t>:</w:t>
      </w:r>
      <w:r>
        <w:t xml:space="preserve"> </w:t>
      </w:r>
      <w:r>
        <w:t>受</w:t>
      </w:r>
      <w:r>
        <w:t xml:space="preserve"> </w:t>
      </w:r>
      <w:r>
        <w:t>A</w:t>
      </w:r>
      <w:r>
        <w:t xml:space="preserve"> </w:t>
      </w:r>
      <w:r>
        <w:t>股</w:t>
      </w:r>
      <w:r>
        <w:t>開</w:t>
      </w:r>
      <w:r>
        <w:t>盤</w:t>
      </w:r>
      <w:r>
        <w:t>影</w:t>
      </w:r>
      <w:r>
        <w:t>響</w:t>
      </w:r>
      <w:r>
        <w:t xml:space="preserve"> </w:t>
      </w:r>
      <w:r>
        <w:t>(</w:t>
      </w:r>
      <w:r>
        <w:t>若</w:t>
      </w:r>
      <w:r>
        <w:t xml:space="preserve"> </w:t>
      </w:r>
      <w:r>
        <w:t>9</w:t>
      </w:r>
      <w:r>
        <w:t>/</w:t>
      </w:r>
      <w:r>
        <w:t>1</w:t>
      </w:r>
      <w:r>
        <w:t xml:space="preserve"> </w:t>
      </w:r>
      <w:r>
        <w:t>為</w:t>
      </w:r>
      <w:r>
        <w:t>交</w:t>
      </w:r>
      <w:r>
        <w:t>易</w:t>
      </w:r>
      <w:r>
        <w:t>日</w:t>
      </w:r>
      <w:r>
        <w:t>)</w:t>
      </w:r>
      <w:r>
        <w:t>，</w:t>
      </w:r>
      <w:r>
        <w:t>關</w:t>
      </w:r>
      <w:r>
        <w:t>注</w:t>
      </w:r>
      <w:r>
        <w:t>政</w:t>
      </w:r>
      <w:r>
        <w:t>策</w:t>
      </w:r>
      <w:r>
        <w:t>消</w:t>
      </w:r>
      <w:r>
        <w:t>息</w:t>
      </w:r>
      <w:r>
        <w:t>面</w:t>
      </w:r>
    </w:p>
    <w:p>
      <w:pPr>
        <w:pStyle w:val="Heading4"/>
      </w:pPr>
      <w:r>
        <w:rPr>
          <w:color w:val="003366"/>
        </w:rPr>
        <w:t>第 5 天 (週五, 9/4) - **非農就業報告 (核心催化劑)**</w:t>
      </w:r>
    </w:p>
    <w:p>
      <w:pPr>
        <w:pStyle w:val="ListBullet"/>
      </w:pPr>
      <w:r>
        <w:rPr>
          <w:b/>
        </w:rPr>
        <w:t>三種結果對應策略</w:t>
      </w:r>
      <w:r>
        <w:t>:</w:t>
      </w:r>
    </w:p>
    <w:p>
      <w:pPr>
        <w:pStyle w:val="ListBullet"/>
      </w:pPr>
      <w:r>
        <w:rPr>
          <w:b/>
        </w:rPr>
        <w:t>Goldilocks (15-20 萬, 失業率 4.2%, 薪資 3.6%)</w:t>
      </w:r>
      <w:r>
        <w:t xml:space="preserve"> </w:t>
      </w:r>
      <w:r>
        <w:t>→</w:t>
      </w:r>
      <w:r>
        <w:t xml:space="preserve"> </w:t>
      </w:r>
      <w:r>
        <w:t>風</w:t>
      </w:r>
      <w:r>
        <w:t>險</w:t>
      </w:r>
      <w:r>
        <w:t>資</w:t>
      </w:r>
      <w:r>
        <w:t>產</w:t>
      </w:r>
      <w:r>
        <w:t>全</w:t>
      </w:r>
      <w:r>
        <w:t>線</w:t>
      </w:r>
      <w:r>
        <w:t>上</w:t>
      </w:r>
      <w:r>
        <w:t>漲</w:t>
      </w:r>
      <w:r>
        <w:t>，</w:t>
      </w:r>
      <w:r>
        <w:t>港</w:t>
      </w:r>
      <w:r>
        <w:t>股</w:t>
      </w:r>
      <w:r>
        <w:t>領</w:t>
      </w:r>
      <w:r>
        <w:t>漲</w:t>
      </w:r>
    </w:p>
    <w:p>
      <w:pPr>
        <w:pStyle w:val="ListBullet"/>
      </w:pPr>
      <w:r>
        <w:rPr>
          <w:b/>
        </w:rPr>
        <w:t>過熱 (&gt;25 萬, 薪資 &gt;3.8%)</w:t>
      </w:r>
      <w:r>
        <w:t xml:space="preserve"> </w:t>
      </w:r>
      <w:r>
        <w:t>→</w:t>
      </w:r>
      <w:r>
        <w:t xml:space="preserve"> </w:t>
      </w:r>
      <w:r>
        <w:t>美</w:t>
      </w:r>
      <w:r>
        <w:t>元</w:t>
      </w:r>
      <w:r>
        <w:t>/</w:t>
      </w:r>
      <w:r>
        <w:t>債</w:t>
      </w:r>
      <w:r>
        <w:t>券</w:t>
      </w:r>
      <w:r>
        <w:t>殖</w:t>
      </w:r>
      <w:r>
        <w:t>利</w:t>
      </w:r>
      <w:r>
        <w:t>率</w:t>
      </w:r>
      <w:r>
        <w:t>雙</w:t>
      </w:r>
      <w:r>
        <w:t>升</w:t>
      </w:r>
      <w:r>
        <w:t>、</w:t>
      </w:r>
      <w:r>
        <w:t>股</w:t>
      </w:r>
      <w:r>
        <w:t>市</w:t>
      </w:r>
      <w:r>
        <w:t>下</w:t>
      </w:r>
      <w:r>
        <w:t>跌</w:t>
      </w:r>
      <w:r>
        <w:t>、</w:t>
      </w:r>
      <w:r>
        <w:t>科</w:t>
      </w:r>
      <w:r>
        <w:t>技</w:t>
      </w:r>
      <w:r>
        <w:t>股</w:t>
      </w:r>
      <w:r>
        <w:t>領</w:t>
      </w:r>
      <w:r>
        <w:t>跌</w:t>
      </w:r>
    </w:p>
    <w:p>
      <w:pPr>
        <w:pStyle w:val="ListBullet"/>
      </w:pPr>
      <w:r>
        <w:rPr>
          <w:b/>
        </w:rPr>
        <w:t>衰退訊號 (&lt;10 萬, 失業率 &gt;4.4%)</w:t>
      </w:r>
      <w:r>
        <w:t xml:space="preserve"> </w:t>
      </w:r>
      <w:r>
        <w:t>→</w:t>
      </w:r>
      <w:r>
        <w:t xml:space="preserve"> </w:t>
      </w:r>
      <w:r>
        <w:t>恐</w:t>
      </w:r>
      <w:r>
        <w:t>慌</w:t>
      </w:r>
      <w:r>
        <w:t>性</w:t>
      </w:r>
      <w:r>
        <w:t>拋</w:t>
      </w:r>
      <w:r>
        <w:t>售</w:t>
      </w:r>
      <w:r>
        <w:t>、</w:t>
      </w:r>
      <w:r>
        <w:t>V</w:t>
      </w:r>
      <w:r>
        <w:t>I</w:t>
      </w:r>
      <w:r>
        <w:t>X</w:t>
      </w:r>
      <w:r>
        <w:t xml:space="preserve"> </w:t>
      </w:r>
      <w:r>
        <w:t>飆</w:t>
      </w:r>
      <w:r>
        <w:t>升</w:t>
      </w:r>
      <w:r>
        <w:t>、</w:t>
      </w:r>
      <w:r>
        <w:t>避</w:t>
      </w:r>
      <w:r>
        <w:t>險</w:t>
      </w:r>
      <w:r>
        <w:t>資</w:t>
      </w:r>
      <w:r>
        <w:t>產</w:t>
      </w:r>
      <w:r>
        <w:t>搶</w:t>
      </w:r>
      <w:r>
        <w:t>購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風險因素與注意事項</w:t>
      </w:r>
    </w:p>
    <w:p>
      <w:pPr>
        <w:pStyle w:val="Heading3"/>
      </w:pPr>
      <w:r>
        <w:rPr>
          <w:color w:val="003366"/>
        </w:rPr>
        <w:t>🔴 核心風險 (高概率/高衝擊)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風險因子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描述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監測指標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應對策略</w:t>
            </w:r>
          </w:p>
        </w:tc>
      </w:tr>
      <w:tr>
        <w:tc>
          <w:tcPr>
            <w:tcW w:type="dxa" w:w="2160"/>
          </w:tcPr>
          <w:p>
            <w:r>
              <w:t>**地緣政治黑天鵝**</w:t>
            </w:r>
          </w:p>
        </w:tc>
        <w:tc>
          <w:tcPr>
            <w:tcW w:type="dxa" w:w="2160"/>
          </w:tcPr>
          <w:p>
            <w:r>
              <w:t>美伊直接軍事衝突升級、霍爾木茲海峽封鎖</w:t>
            </w:r>
          </w:p>
        </w:tc>
        <w:tc>
          <w:tcPr>
            <w:tcW w:type="dxa" w:w="2160"/>
          </w:tcPr>
          <w:p>
            <w:r>
              <w:t>油價突破 $85、VIX &gt;25、黃金突破 $2,600</w:t>
            </w:r>
          </w:p>
        </w:tc>
        <w:tc>
          <w:tcPr>
            <w:tcW w:type="dxa" w:w="2160"/>
          </w:tcPr>
          <w:p>
            <w:r>
              <w:t>能源/防務超配、現金比例 &gt;15%、買入指數看跌期權</w:t>
            </w:r>
          </w:p>
        </w:tc>
      </w:tr>
      <w:tr>
        <w:tc>
          <w:tcPr>
            <w:tcW w:type="dxa" w:w="2160"/>
            <w:shd w:fill="F9F9F9" w:val="clear"/>
          </w:tcPr>
          <w:p>
            <w:r>
              <w:t>**美股估值/槓桿泡沫**</w:t>
            </w:r>
          </w:p>
        </w:tc>
        <w:tc>
          <w:tcPr>
            <w:tcW w:type="dxa" w:w="2160"/>
            <w:shd w:fill="F9F9F9" w:val="clear"/>
          </w:tcPr>
          <w:p>
            <w:r>
              <w:t>S&amp;P 500 市盈率 22x+、保證金債務/期權槓桿創 1907 年以來新高</w:t>
            </w:r>
          </w:p>
        </w:tc>
        <w:tc>
          <w:tcPr>
            <w:tcW w:type="dxa" w:w="2160"/>
            <w:shd w:fill="F9F9F9" w:val="clear"/>
          </w:tcPr>
          <w:p>
            <w:r>
              <w:t>Put/Call &lt;0.7、保證金債務/GDP &gt;3.5%</w:t>
            </w:r>
          </w:p>
        </w:tc>
        <w:tc>
          <w:tcPr>
            <w:tcW w:type="dxa" w:w="2160"/>
            <w:shd w:fill="F9F9F9" w:val="clear"/>
          </w:tcPr>
          <w:p>
            <w:r>
              <w:t>降低 Beta、增加低相關性資產、動態停損</w:t>
            </w:r>
          </w:p>
        </w:tc>
      </w:tr>
      <w:tr>
        <w:tc>
          <w:tcPr>
            <w:tcW w:type="dxa" w:w="2160"/>
          </w:tcPr>
          <w:p>
            <w:r>
              <w:t>**中國政策不確定性**</w:t>
            </w:r>
          </w:p>
        </w:tc>
        <w:tc>
          <w:tcPr>
            <w:tcW w:type="dxa" w:w="2160"/>
          </w:tcPr>
          <w:p>
            <w:r>
              <w:t>房地產風險傳導、財政刺激力度不及預期、監管政策反覆</w:t>
            </w:r>
          </w:p>
        </w:tc>
        <w:tc>
          <w:tcPr>
            <w:tcW w:type="dxa" w:w="2160"/>
          </w:tcPr>
          <w:p>
            <w:r>
              <w:t>社融/ M2 增長、房地產銷售、政策文件頻率</w:t>
            </w:r>
          </w:p>
        </w:tc>
        <w:tc>
          <w:tcPr>
            <w:tcW w:type="dxa" w:w="2160"/>
          </w:tcPr>
          <w:p>
            <w:r>
              <w:t>分散配置、關注「新質生產力」政策導向板塊</w:t>
            </w:r>
          </w:p>
        </w:tc>
      </w:tr>
    </w:tbl>
    <w:p/>
    <w:p>
      <w:pPr>
        <w:pStyle w:val="Heading3"/>
      </w:pPr>
      <w:r>
        <w:rPr>
          <w:color w:val="003366"/>
        </w:rPr>
        <w:t>🟡 次要風險 (中概率/中衝擊)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風險因子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描述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監測指標</w:t>
            </w:r>
          </w:p>
        </w:tc>
      </w:tr>
      <w:tr>
        <w:tc>
          <w:tcPr>
            <w:tcW w:type="dxa" w:w="2880"/>
          </w:tcPr>
          <w:p>
            <w:r>
              <w:t>**美元/日元套息交易平倉**</w:t>
            </w:r>
          </w:p>
        </w:tc>
        <w:tc>
          <w:tcPr>
            <w:tcW w:type="dxa" w:w="2880"/>
          </w:tcPr>
          <w:p>
            <w:r>
              <w:t>日元升值觸發全球流動性收縮</w:t>
            </w:r>
          </w:p>
        </w:tc>
        <w:tc>
          <w:tcPr>
            <w:tcW w:type="dxa" w:w="2880"/>
          </w:tcPr>
          <w:p>
            <w:r>
              <w:t>USDJPY &lt;140、日股下跌、美債殖利率反彈</w:t>
            </w:r>
          </w:p>
        </w:tc>
      </w:tr>
      <w:tr>
        <w:tc>
          <w:tcPr>
            <w:tcW w:type="dxa" w:w="2880"/>
            <w:shd w:fill="F9F9F9" w:val="clear"/>
          </w:tcPr>
          <w:p>
            <w:r>
              <w:t>**企業盈利修正下調**</w:t>
            </w:r>
          </w:p>
        </w:tc>
        <w:tc>
          <w:tcPr>
            <w:tcW w:type="dxa" w:w="2880"/>
            <w:shd w:fill="F9F9F9" w:val="clear"/>
          </w:tcPr>
          <w:p>
            <w:r>
              <w:t>Q3/Q4 盈利預期過於樂觀、指引下調</w:t>
            </w:r>
          </w:p>
        </w:tc>
        <w:tc>
          <w:tcPr>
            <w:tcW w:type="dxa" w:w="2880"/>
            <w:shd w:fill="F9F9F9" w:val="clear"/>
          </w:tcPr>
          <w:p>
            <w:r>
              <w:t>分析師盈利修正比率、管理層指引語氣</w:t>
            </w:r>
          </w:p>
        </w:tc>
      </w:tr>
      <w:tr>
        <w:tc>
          <w:tcPr>
            <w:tcW w:type="dxa" w:w="2880"/>
          </w:tcPr>
          <w:p>
            <w:r>
              <w:t>**流動性突發收縮**</w:t>
            </w:r>
          </w:p>
        </w:tc>
        <w:tc>
          <w:tcPr>
            <w:tcW w:type="dxa" w:w="2880"/>
          </w:tcPr>
          <w:p>
            <w:r>
              <w:t>REPO 利率飆升、銀行準備金不足、QT 影響</w:t>
            </w:r>
          </w:p>
        </w:tc>
        <w:tc>
          <w:tcPr>
            <w:tcW w:type="dxa" w:w="2880"/>
          </w:tcPr>
          <w:p>
            <w:r>
              <w:t>SOFR/OIS 擴大、銀行借貸緊縮調查</w:t>
            </w:r>
          </w:p>
        </w:tc>
      </w:tr>
    </w:tbl>
    <w:p/>
    <w:p>
      <w:pPr>
        <w:pStyle w:val="Heading3"/>
      </w:pPr>
      <w:r>
        <w:rPr>
          <w:color w:val="003366"/>
        </w:rPr>
        <w:t>🟢 可控風險 (低概率/可管理)</w:t>
      </w:r>
    </w:p>
    <w:p>
      <w:pPr>
        <w:pStyle w:val="ListBullet"/>
      </w:pPr>
      <w:r>
        <w:t>單</w:t>
      </w:r>
      <w:r>
        <w:t>一</w:t>
      </w:r>
      <w:r>
        <w:t>股</w:t>
      </w:r>
      <w:r>
        <w:t>票</w:t>
      </w:r>
      <w:r>
        <w:t>濃</w:t>
      </w:r>
      <w:r>
        <w:t>度</w:t>
      </w:r>
      <w:r>
        <w:t>風</w:t>
      </w:r>
      <w:r>
        <w:t>險</w:t>
      </w:r>
      <w:r>
        <w:t xml:space="preserve"> </w:t>
      </w:r>
      <w:r>
        <w:t>(</w:t>
      </w:r>
      <w:r>
        <w:t>N</w:t>
      </w:r>
      <w:r>
        <w:t>V</w:t>
      </w:r>
      <w:r>
        <w:t>D</w:t>
      </w:r>
      <w:r>
        <w:t>A</w:t>
      </w:r>
      <w:r>
        <w:t>/</w:t>
      </w:r>
      <w:r>
        <w:t>M</w:t>
      </w:r>
      <w:r>
        <w:t>S</w:t>
      </w:r>
      <w:r>
        <w:t>F</w:t>
      </w:r>
      <w:r>
        <w:t>T</w:t>
      </w:r>
      <w:r>
        <w:t>/</w:t>
      </w:r>
      <w:r>
        <w:t>A</w:t>
      </w:r>
      <w:r>
        <w:t>A</w:t>
      </w:r>
      <w:r>
        <w:t>P</w:t>
      </w:r>
      <w:r>
        <w:t>L</w:t>
      </w:r>
      <w:r>
        <w:t xml:space="preserve"> </w:t>
      </w:r>
      <w:r>
        <w:t>佔</w:t>
      </w:r>
      <w:r>
        <w:t>投</w:t>
      </w:r>
      <w:r>
        <w:t>資</w:t>
      </w:r>
      <w:r>
        <w:t>組</w:t>
      </w:r>
      <w:r>
        <w:t>合</w:t>
      </w:r>
      <w:r>
        <w:t>過</w:t>
      </w:r>
      <w:r>
        <w:t>大</w:t>
      </w:r>
      <w:r>
        <w:t>)</w:t>
      </w:r>
    </w:p>
    <w:p>
      <w:pPr>
        <w:pStyle w:val="ListBullet"/>
      </w:pPr>
      <w:r>
        <w:t>稅</w:t>
      </w:r>
      <w:r>
        <w:t>務</w:t>
      </w:r>
      <w:r>
        <w:t>/</w:t>
      </w:r>
      <w:r>
        <w:t>會</w:t>
      </w:r>
      <w:r>
        <w:t>計</w:t>
      </w:r>
      <w:r>
        <w:t>年</w:t>
      </w:r>
      <w:r>
        <w:t>度</w:t>
      </w:r>
      <w:r>
        <w:t>結</w:t>
      </w:r>
      <w:r>
        <w:t>構</w:t>
      </w:r>
      <w:r>
        <w:t>性</w:t>
      </w:r>
      <w:r>
        <w:t>調</w:t>
      </w:r>
      <w:r>
        <w:t>倉</w:t>
      </w:r>
      <w:r>
        <w:t xml:space="preserve"> </w:t>
      </w:r>
      <w:r>
        <w:t>(</w:t>
      </w:r>
      <w:r>
        <w:t>季</w:t>
      </w:r>
      <w:r>
        <w:t>末</w:t>
      </w:r>
      <w:r>
        <w:t>/</w:t>
      </w:r>
      <w:r>
        <w:t>年</w:t>
      </w:r>
      <w:r>
        <w:t>末</w:t>
      </w:r>
      <w:r>
        <w:t>窗</w:t>
      </w:r>
      <w:r>
        <w:t>口</w:t>
      </w:r>
      <w:r>
        <w:t>效</w:t>
      </w:r>
      <w:r>
        <w:t>應</w:t>
      </w:r>
      <w:r>
        <w:t>)</w:t>
      </w:r>
    </w:p>
    <w:p>
      <w:pPr>
        <w:pStyle w:val="ListBullet"/>
      </w:pPr>
      <w:r>
        <w:t>技</w:t>
      </w:r>
      <w:r>
        <w:t>術</w:t>
      </w:r>
      <w:r>
        <w:t>性</w:t>
      </w:r>
      <w:r>
        <w:t>調</w:t>
      </w:r>
      <w:r>
        <w:t>整</w:t>
      </w:r>
      <w:r>
        <w:t xml:space="preserve"> </w:t>
      </w:r>
      <w:r>
        <w:t>(</w:t>
      </w:r>
      <w:r>
        <w:t>獲</w:t>
      </w:r>
      <w:r>
        <w:t>利</w:t>
      </w:r>
      <w:r>
        <w:t>了</w:t>
      </w:r>
      <w:r>
        <w:t>結</w:t>
      </w:r>
      <w:r>
        <w:t>、</w:t>
      </w:r>
      <w:r>
        <w:t>均</w:t>
      </w:r>
      <w:r>
        <w:t>線</w:t>
      </w:r>
      <w:r>
        <w:t>回</w:t>
      </w:r>
      <w:r>
        <w:t>踩</w:t>
      </w:r>
      <w:r>
        <w:t>)</w:t>
      </w:r>
      <w:r>
        <w:t xml:space="preserve"> </w:t>
      </w:r>
      <w:r>
        <w:t>-</w:t>
      </w:r>
      <w:r>
        <w:t xml:space="preserve"> </w:t>
      </w:r>
      <w:r>
        <w:t>屬</w:t>
      </w:r>
      <w:r>
        <w:t>健</w:t>
      </w:r>
      <w:r>
        <w:t>康</w:t>
      </w:r>
      <w:r>
        <w:t>回</w:t>
      </w:r>
      <w:r>
        <w:t>調</w:t>
      </w:r>
    </w:p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附錄：關鍵數據表</w:t>
      </w:r>
    </w:p>
    <w:p>
      <w:pPr>
        <w:pStyle w:val="Heading3"/>
      </w:pPr>
      <w:r>
        <w:rPr>
          <w:color w:val="003366"/>
        </w:rPr>
        <w:t>表 1: 核心資產類別表現預測 (未來 5 個交易日)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資產類別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基準預測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樂觀情境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悲觀情境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建議權重調整</w:t>
            </w:r>
          </w:p>
        </w:tc>
      </w:tr>
      <w:tr>
        <w:tc>
          <w:tcPr>
            <w:tcW w:type="dxa" w:w="1728"/>
          </w:tcPr>
          <w:p>
            <w:r>
              <w:t>**港股科技成長 (AI/半導體/硬科技)**</w:t>
            </w:r>
          </w:p>
        </w:tc>
        <w:tc>
          <w:tcPr>
            <w:tcW w:type="dxa" w:w="1728"/>
          </w:tcPr>
          <w:p>
            <w:r>
              <w:t>+2% 到 +5%</w:t>
            </w:r>
          </w:p>
        </w:tc>
        <w:tc>
          <w:tcPr>
            <w:tcW w:type="dxa" w:w="1728"/>
          </w:tcPr>
          <w:p>
            <w:r>
              <w:t>+5% 到 +10%</w:t>
            </w:r>
          </w:p>
        </w:tc>
        <w:tc>
          <w:tcPr>
            <w:tcW w:type="dxa" w:w="1728"/>
          </w:tcPr>
          <w:p>
            <w:r>
              <w:t>-3% 到 -8%</w:t>
            </w:r>
          </w:p>
        </w:tc>
        <w:tc>
          <w:tcPr>
            <w:tcW w:type="dxa" w:w="1728"/>
          </w:tcPr>
          <w:p>
            <w:r>
              <w:t>**超配 (+5-10%)**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**港股消費/平台經濟**</w:t>
            </w:r>
          </w:p>
        </w:tc>
        <w:tc>
          <w:tcPr>
            <w:tcW w:type="dxa" w:w="1728"/>
            <w:shd w:fill="F9F9F9" w:val="clear"/>
          </w:tcPr>
          <w:p>
            <w:r>
              <w:t>+1% 到 +3%</w:t>
            </w:r>
          </w:p>
        </w:tc>
        <w:tc>
          <w:tcPr>
            <w:tcW w:type="dxa" w:w="1728"/>
            <w:shd w:fill="F9F9F9" w:val="clear"/>
          </w:tcPr>
          <w:p>
            <w:r>
              <w:t>+3% 到 +6%</w:t>
            </w:r>
          </w:p>
        </w:tc>
        <w:tc>
          <w:tcPr>
            <w:tcW w:type="dxa" w:w="1728"/>
            <w:shd w:fill="F9F9F9" w:val="clear"/>
          </w:tcPr>
          <w:p>
            <w:r>
              <w:t>-2% 到 -5%</w:t>
            </w:r>
          </w:p>
        </w:tc>
        <w:tc>
          <w:tcPr>
            <w:tcW w:type="dxa" w:w="1728"/>
            <w:shd w:fill="F9F9F9" w:val="clear"/>
          </w:tcPr>
          <w:p>
            <w:r>
              <w:t>中性/略超配</w:t>
            </w:r>
          </w:p>
        </w:tc>
      </w:tr>
      <w:tr>
        <w:tc>
          <w:tcPr>
            <w:tcW w:type="dxa" w:w="1728"/>
          </w:tcPr>
          <w:p>
            <w:r>
              <w:t>**美股大型科技 (Mag 7)**</w:t>
            </w:r>
          </w:p>
        </w:tc>
        <w:tc>
          <w:tcPr>
            <w:tcW w:type="dxa" w:w="1728"/>
          </w:tcPr>
          <w:p>
            <w:r>
              <w:t>-1% 到 +2%</w:t>
            </w:r>
          </w:p>
        </w:tc>
        <w:tc>
          <w:tcPr>
            <w:tcW w:type="dxa" w:w="1728"/>
          </w:tcPr>
          <w:p>
            <w:r>
              <w:t>+2% 到 +5%</w:t>
            </w:r>
          </w:p>
        </w:tc>
        <w:tc>
          <w:tcPr>
            <w:tcW w:type="dxa" w:w="1728"/>
          </w:tcPr>
          <w:p>
            <w:r>
              <w:t>-5% 到 -10%</w:t>
            </w:r>
          </w:p>
        </w:tc>
        <w:tc>
          <w:tcPr>
            <w:tcW w:type="dxa" w:w="1728"/>
          </w:tcPr>
          <w:p>
            <w:r>
              <w:t>**低配 (-5%)**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**美股防禦/股息 (醫療/必需/公用)**</w:t>
            </w:r>
          </w:p>
        </w:tc>
        <w:tc>
          <w:tcPr>
            <w:tcW w:type="dxa" w:w="1728"/>
            <w:shd w:fill="F9F9F9" w:val="clear"/>
          </w:tcPr>
          <w:p>
            <w:r>
              <w:t>+0% 到 +2%</w:t>
            </w:r>
          </w:p>
        </w:tc>
        <w:tc>
          <w:tcPr>
            <w:tcW w:type="dxa" w:w="1728"/>
            <w:shd w:fill="F9F9F9" w:val="clear"/>
          </w:tcPr>
          <w:p>
            <w:r>
              <w:t>+1% 到 +3%</w:t>
            </w:r>
          </w:p>
        </w:tc>
        <w:tc>
          <w:tcPr>
            <w:tcW w:type="dxa" w:w="1728"/>
            <w:shd w:fill="F9F9F9" w:val="clear"/>
          </w:tcPr>
          <w:p>
            <w:r>
              <w:t>+2% 到 +5%</w:t>
            </w:r>
          </w:p>
        </w:tc>
        <w:tc>
          <w:tcPr>
            <w:tcW w:type="dxa" w:w="1728"/>
            <w:shd w:fill="F9F9F9" w:val="clear"/>
          </w:tcPr>
          <w:p>
            <w:r>
              <w:t>**超配 (+5%)**</w:t>
            </w:r>
          </w:p>
        </w:tc>
      </w:tr>
      <w:tr>
        <w:tc>
          <w:tcPr>
            <w:tcW w:type="dxa" w:w="1728"/>
          </w:tcPr>
          <w:p>
            <w:r>
              <w:t>**美股能源/大宗商品**</w:t>
            </w:r>
          </w:p>
        </w:tc>
        <w:tc>
          <w:tcPr>
            <w:tcW w:type="dxa" w:w="1728"/>
          </w:tcPr>
          <w:p>
            <w:r>
              <w:t>+2% 到 +4%</w:t>
            </w:r>
          </w:p>
        </w:tc>
        <w:tc>
          <w:tcPr>
            <w:tcW w:type="dxa" w:w="1728"/>
          </w:tcPr>
          <w:p>
            <w:r>
              <w:t>+5% 到 +8%</w:t>
            </w:r>
          </w:p>
        </w:tc>
        <w:tc>
          <w:tcPr>
            <w:tcW w:type="dxa" w:w="1728"/>
          </w:tcPr>
          <w:p>
            <w:r>
              <w:t>-2% 到 0%</w:t>
            </w:r>
          </w:p>
        </w:tc>
        <w:tc>
          <w:tcPr>
            <w:tcW w:type="dxa" w:w="1728"/>
          </w:tcPr>
          <w:p>
            <w:r>
              <w:t>中性/略超配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**黃金/貴金屬**</w:t>
            </w:r>
          </w:p>
        </w:tc>
        <w:tc>
          <w:tcPr>
            <w:tcW w:type="dxa" w:w="1728"/>
            <w:shd w:fill="F9F9F9" w:val="clear"/>
          </w:tcPr>
          <w:p>
            <w:r>
              <w:t>+1% 到 +3%</w:t>
            </w:r>
          </w:p>
        </w:tc>
        <w:tc>
          <w:tcPr>
            <w:tcW w:type="dxa" w:w="1728"/>
            <w:shd w:fill="F9F9F9" w:val="clear"/>
          </w:tcPr>
          <w:p>
            <w:r>
              <w:t>+3% 到 +6%</w:t>
            </w:r>
          </w:p>
        </w:tc>
        <w:tc>
          <w:tcPr>
            <w:tcW w:type="dxa" w:w="1728"/>
            <w:shd w:fill="F9F9F9" w:val="clear"/>
          </w:tcPr>
          <w:p>
            <w:r>
              <w:t>+5% 到 +10%</w:t>
            </w:r>
          </w:p>
        </w:tc>
        <w:tc>
          <w:tcPr>
            <w:tcW w:type="dxa" w:w="1728"/>
            <w:shd w:fill="F9F9F9" w:val="clear"/>
          </w:tcPr>
          <w:p>
            <w:r>
              <w:t>**核心配置 (5-10%)**</w:t>
            </w:r>
          </w:p>
        </w:tc>
      </w:tr>
      <w:tr>
        <w:tc>
          <w:tcPr>
            <w:tcW w:type="dxa" w:w="1728"/>
          </w:tcPr>
          <w:p>
            <w:r>
              <w:t>**美元現金/短債**</w:t>
            </w:r>
          </w:p>
        </w:tc>
        <w:tc>
          <w:tcPr>
            <w:tcW w:type="dxa" w:w="1728"/>
          </w:tcPr>
          <w:p>
            <w:r>
              <w:t>0% (基準)</w:t>
            </w:r>
          </w:p>
        </w:tc>
        <w:tc>
          <w:tcPr>
            <w:tcW w:type="dxa" w:w="1728"/>
          </w:tcPr>
          <w:p>
            <w:r>
              <w:t>-1% (機會成本)</w:t>
            </w:r>
          </w:p>
        </w:tc>
        <w:tc>
          <w:tcPr>
            <w:tcW w:type="dxa" w:w="1728"/>
          </w:tcPr>
          <w:p>
            <w:r>
              <w:t>+3% (避險收益)</w:t>
            </w:r>
          </w:p>
        </w:tc>
        <w:tc>
          <w:tcPr>
            <w:tcW w:type="dxa" w:w="1728"/>
          </w:tcPr>
          <w:p>
            <w:r>
              <w:t>**戰略儲備 (10-15%)**</w:t>
            </w:r>
          </w:p>
        </w:tc>
      </w:tr>
    </w:tbl>
    <w:p/>
    <w:p>
      <w:pPr>
        <w:pStyle w:val="Heading3"/>
      </w:pPr>
      <w:r>
        <w:rPr>
          <w:color w:val="003366"/>
        </w:rPr>
        <w:t>表 2: 重點關注標的清單 (觀察清單)</w:t>
      </w:r>
    </w:p>
    <w:p>
      <w:pPr>
        <w:pStyle w:val="Heading4"/>
      </w:pPr>
      <w:r>
        <w:rPr>
          <w:color w:val="003366"/>
        </w:rPr>
        <w:t>港股核心關注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代碼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名稱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關注理由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關鍵價位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風險提示</w:t>
            </w:r>
          </w:p>
        </w:tc>
      </w:tr>
      <w:tr>
        <w:tc>
          <w:tcPr>
            <w:tcW w:type="dxa" w:w="1728"/>
          </w:tcPr>
          <w:p>
            <w:r>
              <w:t>**03690.HK**</w:t>
            </w:r>
          </w:p>
        </w:tc>
        <w:tc>
          <w:tcPr>
            <w:tcW w:type="dxa" w:w="1728"/>
          </w:tcPr>
          <w:p>
            <w:r>
              <w:t>美團-W</w:t>
            </w:r>
          </w:p>
        </w:tc>
        <w:tc>
          <w:tcPr>
            <w:tcW w:type="dxa" w:w="1728"/>
          </w:tcPr>
          <w:p>
            <w:r>
              <w:t>Q2 扭虧、核心利潤 +52%、Keeta 盈利、估值修復</w:t>
            </w:r>
          </w:p>
        </w:tc>
        <w:tc>
          <w:tcPr>
            <w:tcW w:type="dxa" w:w="1728"/>
          </w:tcPr>
          <w:p>
            <w:r>
              <w:t>140/155/170</w:t>
            </w:r>
          </w:p>
        </w:tc>
        <w:tc>
          <w:tcPr>
            <w:tcW w:type="dxa" w:w="1728"/>
          </w:tcPr>
          <w:p>
            <w:r>
              <w:t>即時配送競爭、海外擴張不確定性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**00700.HK**</w:t>
            </w:r>
          </w:p>
        </w:tc>
        <w:tc>
          <w:tcPr>
            <w:tcW w:type="dxa" w:w="1728"/>
            <w:shd w:fill="F9F9F9" w:val="clear"/>
          </w:tcPr>
          <w:p>
            <w:r>
              <w:t>騰訊控股</w:t>
            </w:r>
          </w:p>
        </w:tc>
        <w:tc>
          <w:tcPr>
            <w:tcW w:type="dxa" w:w="1728"/>
            <w:shd w:fill="F9F9F9" w:val="clear"/>
          </w:tcPr>
          <w:p>
            <w:r>
              <w:t>回購支撐、微信生態护城河、遊戲/AI 雙引擎</w:t>
            </w:r>
          </w:p>
        </w:tc>
        <w:tc>
          <w:tcPr>
            <w:tcW w:type="dxa" w:w="1728"/>
            <w:shd w:fill="F9F9F9" w:val="clear"/>
          </w:tcPr>
          <w:p>
            <w:r>
              <w:t>440/465/490</w:t>
            </w:r>
          </w:p>
        </w:tc>
        <w:tc>
          <w:tcPr>
            <w:tcW w:type="dxa" w:w="1728"/>
            <w:shd w:fill="F9F9F9" w:val="clear"/>
          </w:tcPr>
          <w:p>
            <w:r>
              <w:t>監管、廣告收入週期性</w:t>
            </w:r>
          </w:p>
        </w:tc>
      </w:tr>
      <w:tr>
        <w:tc>
          <w:tcPr>
            <w:tcW w:type="dxa" w:w="1728"/>
          </w:tcPr>
          <w:p>
            <w:r>
              <w:t>**09988.HK**</w:t>
            </w:r>
          </w:p>
        </w:tc>
        <w:tc>
          <w:tcPr>
            <w:tcW w:type="dxa" w:w="1728"/>
          </w:tcPr>
          <w:p>
            <w:r>
              <w:t>阿里巴巴-W</w:t>
            </w:r>
          </w:p>
        </w:tc>
        <w:tc>
          <w:tcPr>
            <w:tcW w:type="dxa" w:w="1728"/>
          </w:tcPr>
          <w:p>
            <w:r>
              <w:t>雲增長加速、電商基本盤穩、估值洼地</w:t>
            </w:r>
          </w:p>
        </w:tc>
        <w:tc>
          <w:tcPr>
            <w:tcW w:type="dxa" w:w="1728"/>
          </w:tcPr>
          <w:p>
            <w:r>
              <w:t>85/95/110</w:t>
            </w:r>
          </w:p>
        </w:tc>
        <w:tc>
          <w:tcPr>
            <w:tcW w:type="dxa" w:w="1728"/>
          </w:tcPr>
          <w:p>
            <w:r>
              <w:t>監管、雲計算競爭加劇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**02476.HK**</w:t>
            </w:r>
          </w:p>
        </w:tc>
        <w:tc>
          <w:tcPr>
            <w:tcW w:type="dxa" w:w="1728"/>
            <w:shd w:fill="F9F9F9" w:val="clear"/>
          </w:tcPr>
          <w:p>
            <w:r>
              <w:t>勝宏科技</w:t>
            </w:r>
          </w:p>
        </w:tc>
        <w:tc>
          <w:tcPr>
            <w:tcW w:type="dxa" w:w="1728"/>
            <w:shd w:fill="F9F9F9" w:val="clear"/>
          </w:tcPr>
          <w:p>
            <w:r>
              <w:t>北向資金大幅流入、半導體設備國產替代龍頭</w:t>
            </w:r>
          </w:p>
        </w:tc>
        <w:tc>
          <w:tcPr>
            <w:tcW w:type="dxa" w:w="1728"/>
            <w:shd w:fill="F9F9F9" w:val="clear"/>
          </w:tcPr>
          <w:p>
            <w:r>
              <w:t>80/95/110</w:t>
            </w:r>
          </w:p>
        </w:tc>
        <w:tc>
          <w:tcPr>
            <w:tcW w:type="dxa" w:w="1728"/>
            <w:shd w:fill="F9F9F9" w:val="clear"/>
          </w:tcPr>
          <w:p>
            <w:r>
              <w:t>客戶集中度、技術迭代風險</w:t>
            </w:r>
          </w:p>
        </w:tc>
      </w:tr>
      <w:tr>
        <w:tc>
          <w:tcPr>
            <w:tcW w:type="dxa" w:w="1728"/>
          </w:tcPr>
          <w:p>
            <w:r>
              <w:t>**02513.HK**</w:t>
            </w:r>
          </w:p>
        </w:tc>
        <w:tc>
          <w:tcPr>
            <w:tcW w:type="dxa" w:w="1728"/>
          </w:tcPr>
          <w:p>
            <w:r>
              <w:t>智譜 AI</w:t>
            </w:r>
          </w:p>
        </w:tc>
        <w:tc>
          <w:tcPr>
            <w:tcW w:type="dxa" w:w="1728"/>
          </w:tcPr>
          <w:p>
            <w:r>
              <w:t>國內大模型第一梯隊、產業落地加速</w:t>
            </w:r>
          </w:p>
        </w:tc>
        <w:tc>
          <w:tcPr>
            <w:tcW w:type="dxa" w:w="1728"/>
          </w:tcPr>
          <w:p>
            <w:r>
              <w:t>--/--/--</w:t>
            </w:r>
          </w:p>
        </w:tc>
        <w:tc>
          <w:tcPr>
            <w:tcW w:type="dxa" w:w="1728"/>
          </w:tcPr>
          <w:p>
            <w:r>
              <w:t>商業化變現節奏、算力成本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**0981.HK**</w:t>
            </w:r>
          </w:p>
        </w:tc>
        <w:tc>
          <w:tcPr>
            <w:tcW w:type="dxa" w:w="1728"/>
            <w:shd w:fill="F9F9F9" w:val="clear"/>
          </w:tcPr>
          <w:p>
            <w:r>
              <w:t>中芯國際</w:t>
            </w:r>
          </w:p>
        </w:tc>
        <w:tc>
          <w:tcPr>
            <w:tcW w:type="dxa" w:w="1728"/>
            <w:shd w:fill="F9F9F9" w:val="clear"/>
          </w:tcPr>
          <w:p>
            <w:r>
              <w:t>成熟製程需求旺盛、國產替代核心受益者</w:t>
            </w:r>
          </w:p>
        </w:tc>
        <w:tc>
          <w:tcPr>
            <w:tcW w:type="dxa" w:w="1728"/>
            <w:shd w:fill="F9F9F9" w:val="clear"/>
          </w:tcPr>
          <w:p>
            <w:r>
              <w:t>45/52/60</w:t>
            </w:r>
          </w:p>
        </w:tc>
        <w:tc>
          <w:tcPr>
            <w:tcW w:type="dxa" w:w="1728"/>
            <w:shd w:fill="F9F9F9" w:val="clear"/>
          </w:tcPr>
          <w:p>
            <w:r>
              <w:t>出口管制、毛利率壓力</w:t>
            </w:r>
          </w:p>
        </w:tc>
      </w:tr>
    </w:tbl>
    <w:p/>
    <w:p>
      <w:pPr>
        <w:pStyle w:val="Heading4"/>
      </w:pPr>
      <w:r>
        <w:rPr>
          <w:color w:val="003366"/>
        </w:rPr>
        <w:t>美股核心關注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代碼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名稱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關注理由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關鍵價位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風險提示</w:t>
            </w:r>
          </w:p>
        </w:tc>
      </w:tr>
      <w:tr>
        <w:tc>
          <w:tcPr>
            <w:tcW w:type="dxa" w:w="1728"/>
          </w:tcPr>
          <w:p>
            <w:r>
              <w:t>**NVDA**</w:t>
            </w:r>
          </w:p>
        </w:tc>
        <w:tc>
          <w:tcPr>
            <w:tcW w:type="dxa" w:w="1728"/>
          </w:tcPr>
          <w:p>
            <w:r>
              <w:t>輝達</w:t>
            </w:r>
          </w:p>
        </w:tc>
        <w:tc>
          <w:tcPr>
            <w:tcW w:type="dxa" w:w="1728"/>
          </w:tcPr>
          <w:p>
            <w:r>
              <w:t>AI 算力絕對龍頭、Blackwell 週期啟動</w:t>
            </w:r>
          </w:p>
        </w:tc>
        <w:tc>
          <w:tcPr>
            <w:tcW w:type="dxa" w:w="1728"/>
          </w:tcPr>
          <w:p>
            <w:r>
              <w:t>120/140/160</w:t>
            </w:r>
          </w:p>
        </w:tc>
        <w:tc>
          <w:tcPr>
            <w:tcW w:type="dxa" w:w="1728"/>
          </w:tcPr>
          <w:p>
            <w:r>
              <w:t>估值高、出口管制、客戶自研晶片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**AVGO**</w:t>
            </w:r>
          </w:p>
        </w:tc>
        <w:tc>
          <w:tcPr>
            <w:tcW w:type="dxa" w:w="1728"/>
            <w:shd w:fill="F9F9F9" w:val="clear"/>
          </w:tcPr>
          <w:p>
            <w:r>
              <w:t>博通</w:t>
            </w:r>
          </w:p>
        </w:tc>
        <w:tc>
          <w:tcPr>
            <w:tcW w:type="dxa" w:w="1728"/>
            <w:shd w:fill="F9F9F9" w:val="clear"/>
          </w:tcPr>
          <w:p>
            <w:r>
              <w:t>AI ASIC + VMware 整合、本周財報關鍵</w:t>
            </w:r>
          </w:p>
        </w:tc>
        <w:tc>
          <w:tcPr>
            <w:tcW w:type="dxa" w:w="1728"/>
            <w:shd w:fill="F9F9F9" w:val="clear"/>
          </w:tcPr>
          <w:p>
            <w:r>
              <w:t>160/180/200</w:t>
            </w:r>
          </w:p>
        </w:tc>
        <w:tc>
          <w:tcPr>
            <w:tcW w:type="dxa" w:w="1728"/>
            <w:shd w:fill="F9F9F9" w:val="clear"/>
          </w:tcPr>
          <w:p>
            <w:r>
              <w:t>債務水平、整合風險</w:t>
            </w:r>
          </w:p>
        </w:tc>
      </w:tr>
      <w:tr>
        <w:tc>
          <w:tcPr>
            <w:tcW w:type="dxa" w:w="1728"/>
          </w:tcPr>
          <w:p>
            <w:r>
              <w:t>**MSFT**</w:t>
            </w:r>
          </w:p>
        </w:tc>
        <w:tc>
          <w:tcPr>
            <w:tcW w:type="dxa" w:w="1728"/>
          </w:tcPr>
          <w:p>
            <w:r>
              <w:t>微軟</w:t>
            </w:r>
          </w:p>
        </w:tc>
        <w:tc>
          <w:tcPr>
            <w:tcW w:type="dxa" w:w="1728"/>
          </w:tcPr>
          <w:p>
            <w:r>
              <w:t>Azure AI 增長、Office 365 Copilot 變現</w:t>
            </w:r>
          </w:p>
        </w:tc>
        <w:tc>
          <w:tcPr>
            <w:tcW w:type="dxa" w:w="1728"/>
          </w:tcPr>
          <w:p>
            <w:r>
              <w:t>420/450/480</w:t>
            </w:r>
          </w:p>
        </w:tc>
        <w:tc>
          <w:tcPr>
            <w:tcW w:type="dxa" w:w="1728"/>
          </w:tcPr>
          <w:p>
            <w:r>
              <w:t>资本开支巨大、增長放緩</w:t>
            </w:r>
          </w:p>
        </w:tc>
      </w:tr>
      <w:tr>
        <w:tc>
          <w:tcPr>
            <w:tcW w:type="dxa" w:w="1728"/>
            <w:shd w:fill="F9F9F9" w:val="clear"/>
          </w:tcPr>
          <w:p>
            <w:r>
              <w:t>**XOM/CVX**</w:t>
            </w:r>
          </w:p>
        </w:tc>
        <w:tc>
          <w:tcPr>
            <w:tcW w:type="dxa" w:w="1728"/>
            <w:shd w:fill="F9F9F9" w:val="clear"/>
          </w:tcPr>
          <w:p>
            <w:r>
              <w:t>埃克森/雪佛龍</w:t>
            </w:r>
          </w:p>
        </w:tc>
        <w:tc>
          <w:tcPr>
            <w:tcW w:type="dxa" w:w="1728"/>
            <w:shd w:fill="F9F9F9" w:val="clear"/>
          </w:tcPr>
          <w:p>
            <w:r>
              <w:t>地緣政治溢價、現金流強、股息覆蓋好</w:t>
            </w:r>
          </w:p>
        </w:tc>
        <w:tc>
          <w:tcPr>
            <w:tcW w:type="dxa" w:w="1728"/>
            <w:shd w:fill="F9F9F9" w:val="clear"/>
          </w:tcPr>
          <w:p>
            <w:r>
              <w:t>--/--/--</w:t>
            </w:r>
          </w:p>
        </w:tc>
        <w:tc>
          <w:tcPr>
            <w:tcW w:type="dxa" w:w="1728"/>
            <w:shd w:fill="F9F9F9" w:val="clear"/>
          </w:tcPr>
          <w:p>
            <w:r>
              <w:t>長期能源轉型、油價波動</w:t>
            </w:r>
          </w:p>
        </w:tc>
      </w:tr>
      <w:tr>
        <w:tc>
          <w:tcPr>
            <w:tcW w:type="dxa" w:w="1728"/>
          </w:tcPr>
          <w:p>
            <w:r>
              <w:t>**GLD/IAU**</w:t>
            </w:r>
          </w:p>
        </w:tc>
        <w:tc>
          <w:tcPr>
            <w:tcW w:type="dxa" w:w="1728"/>
          </w:tcPr>
          <w:p>
            <w:r>
              <w:t>黃金 ETF</w:t>
            </w:r>
          </w:p>
        </w:tc>
        <w:tc>
          <w:tcPr>
            <w:tcW w:type="dxa" w:w="1728"/>
          </w:tcPr>
          <w:p>
            <w:r>
              <w:t>央行買盤、實質利率下行、避險需求</w:t>
            </w:r>
          </w:p>
        </w:tc>
        <w:tc>
          <w:tcPr>
            <w:tcW w:type="dxa" w:w="1728"/>
          </w:tcPr>
          <w:p>
            <w:r>
              <w:t>2550/2650/2800</w:t>
            </w:r>
          </w:p>
        </w:tc>
        <w:tc>
          <w:tcPr>
            <w:tcW w:type="dxa" w:w="1728"/>
          </w:tcPr>
          <w:p>
            <w:r>
              <w:t>美元反彈、實質利率上行</w:t>
            </w:r>
          </w:p>
        </w:tc>
      </w:tr>
    </w:tbl>
    <w:p/>
    <w:p>
      <w:pPr>
        <w:pStyle w:val="Heading3"/>
      </w:pPr>
      <w:r>
        <w:rPr>
          <w:color w:val="003366"/>
        </w:rPr>
        <w:t>表 3: 關鍵技術水平速查表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指數/標的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強阻力 (R2)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阻力 (R1)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當前區間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支撐 (S1)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強支撐 (S2)</w:t>
            </w:r>
          </w:p>
        </w:tc>
        <w:tc>
          <w:tcPr>
            <w:tcW w:type="dxa" w:w="1234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</w:rPr>
              <w:t>關鍵均線</w:t>
            </w:r>
          </w:p>
        </w:tc>
      </w:tr>
      <w:tr>
        <w:tc>
          <w:tcPr>
            <w:tcW w:type="dxa" w:w="1234"/>
          </w:tcPr>
          <w:p>
            <w:r>
              <w:t>**HSI**</w:t>
            </w:r>
          </w:p>
        </w:tc>
        <w:tc>
          <w:tcPr>
            <w:tcW w:type="dxa" w:w="1234"/>
          </w:tcPr>
          <w:p>
            <w:r>
              <w:t>22,500</w:t>
            </w:r>
          </w:p>
        </w:tc>
        <w:tc>
          <w:tcPr>
            <w:tcW w:type="dxa" w:w="1234"/>
          </w:tcPr>
          <w:p>
            <w:r>
              <w:t>21,800</w:t>
            </w:r>
          </w:p>
        </w:tc>
        <w:tc>
          <w:tcPr>
            <w:tcW w:type="dxa" w:w="1234"/>
          </w:tcPr>
          <w:p>
            <w:r>
              <w:t>21,000-21,500</w:t>
            </w:r>
          </w:p>
        </w:tc>
        <w:tc>
          <w:tcPr>
            <w:tcW w:type="dxa" w:w="1234"/>
          </w:tcPr>
          <w:p>
            <w:r>
              <w:t>20,800</w:t>
            </w:r>
          </w:p>
        </w:tc>
        <w:tc>
          <w:tcPr>
            <w:tcW w:type="dxa" w:w="1234"/>
          </w:tcPr>
          <w:p>
            <w:r>
              <w:t>20,000</w:t>
            </w:r>
          </w:p>
        </w:tc>
        <w:tc>
          <w:tcPr>
            <w:tcW w:type="dxa" w:w="1234"/>
          </w:tcPr>
          <w:p>
            <w:r>
              <w:t>20 日: 20,900 / 50 日: 20,300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**S&amp;P 500**</w:t>
            </w:r>
          </w:p>
        </w:tc>
        <w:tc>
          <w:tcPr>
            <w:tcW w:type="dxa" w:w="1234"/>
            <w:shd w:fill="F9F9F9" w:val="clear"/>
          </w:tcPr>
          <w:p>
            <w:r>
              <w:t>6,100</w:t>
            </w:r>
          </w:p>
        </w:tc>
        <w:tc>
          <w:tcPr>
            <w:tcW w:type="dxa" w:w="1234"/>
            <w:shd w:fill="F9F9F9" w:val="clear"/>
          </w:tcPr>
          <w:p>
            <w:r>
              <w:t>6,000</w:t>
            </w:r>
          </w:p>
        </w:tc>
        <w:tc>
          <w:tcPr>
            <w:tcW w:type="dxa" w:w="1234"/>
            <w:shd w:fill="F9F9F9" w:val="clear"/>
          </w:tcPr>
          <w:p>
            <w:r>
              <w:t>5,850-5,950</w:t>
            </w:r>
          </w:p>
        </w:tc>
        <w:tc>
          <w:tcPr>
            <w:tcW w:type="dxa" w:w="1234"/>
            <w:shd w:fill="F9F9F9" w:val="clear"/>
          </w:tcPr>
          <w:p>
            <w:r>
              <w:t>5,800</w:t>
            </w:r>
          </w:p>
        </w:tc>
        <w:tc>
          <w:tcPr>
            <w:tcW w:type="dxa" w:w="1234"/>
            <w:shd w:fill="F9F9F9" w:val="clear"/>
          </w:tcPr>
          <w:p>
            <w:r>
              <w:t>5,700</w:t>
            </w:r>
          </w:p>
        </w:tc>
        <w:tc>
          <w:tcPr>
            <w:tcW w:type="dxa" w:w="1234"/>
            <w:shd w:fill="F9F9F9" w:val="clear"/>
          </w:tcPr>
          <w:p>
            <w:r>
              <w:t>20 日: 5,880 / 50 日: 5,720</w:t>
            </w:r>
          </w:p>
        </w:tc>
      </w:tr>
      <w:tr>
        <w:tc>
          <w:tcPr>
            <w:tcW w:type="dxa" w:w="1234"/>
          </w:tcPr>
          <w:p>
            <w:r>
              <w:t>**NASDAQ 100**</w:t>
            </w:r>
          </w:p>
        </w:tc>
        <w:tc>
          <w:tcPr>
            <w:tcW w:type="dxa" w:w="1234"/>
          </w:tcPr>
          <w:p>
            <w:r>
              <w:t>21,200</w:t>
            </w:r>
          </w:p>
        </w:tc>
        <w:tc>
          <w:tcPr>
            <w:tcW w:type="dxa" w:w="1234"/>
          </w:tcPr>
          <w:p>
            <w:r>
              <w:t>20,500</w:t>
            </w:r>
          </w:p>
        </w:tc>
        <w:tc>
          <w:tcPr>
            <w:tcW w:type="dxa" w:w="1234"/>
          </w:tcPr>
          <w:p>
            <w:r>
              <w:t>19,800-20,300</w:t>
            </w:r>
          </w:p>
        </w:tc>
        <w:tc>
          <w:tcPr>
            <w:tcW w:type="dxa" w:w="1234"/>
          </w:tcPr>
          <w:p>
            <w:r>
              <w:t>19,500</w:t>
            </w:r>
          </w:p>
        </w:tc>
        <w:tc>
          <w:tcPr>
            <w:tcW w:type="dxa" w:w="1234"/>
          </w:tcPr>
          <w:p>
            <w:r>
              <w:t>18,800</w:t>
            </w:r>
          </w:p>
        </w:tc>
        <w:tc>
          <w:tcPr>
            <w:tcW w:type="dxa" w:w="1234"/>
          </w:tcPr>
          <w:p>
            <w:r>
              <w:t>20 日: 20,100 / 50 日: 19,400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**NVDA**</w:t>
            </w:r>
          </w:p>
        </w:tc>
        <w:tc>
          <w:tcPr>
            <w:tcW w:type="dxa" w:w="1234"/>
            <w:shd w:fill="F9F9F9" w:val="clear"/>
          </w:tcPr>
          <w:p>
            <w:r>
              <w:t>160</w:t>
            </w:r>
          </w:p>
        </w:tc>
        <w:tc>
          <w:tcPr>
            <w:tcW w:type="dxa" w:w="1234"/>
            <w:shd w:fill="F9F9F9" w:val="clear"/>
          </w:tcPr>
          <w:p>
            <w:r>
              <w:t>145</w:t>
            </w:r>
          </w:p>
        </w:tc>
        <w:tc>
          <w:tcPr>
            <w:tcW w:type="dxa" w:w="1234"/>
            <w:shd w:fill="F9F9F9" w:val="clear"/>
          </w:tcPr>
          <w:p>
            <w:r>
              <w:t>130-140</w:t>
            </w:r>
          </w:p>
        </w:tc>
        <w:tc>
          <w:tcPr>
            <w:tcW w:type="dxa" w:w="1234"/>
            <w:shd w:fill="F9F9F9" w:val="clear"/>
          </w:tcPr>
          <w:p>
            <w:r>
              <w:t>125</w:t>
            </w:r>
          </w:p>
        </w:tc>
        <w:tc>
          <w:tcPr>
            <w:tcW w:type="dxa" w:w="1234"/>
            <w:shd w:fill="F9F9F9" w:val="clear"/>
          </w:tcPr>
          <w:p>
            <w:r>
              <w:t>115</w:t>
            </w:r>
          </w:p>
        </w:tc>
        <w:tc>
          <w:tcPr>
            <w:tcW w:type="dxa" w:w="1234"/>
            <w:shd w:fill="F9F9F9" w:val="clear"/>
          </w:tcPr>
          <w:p>
            <w:r>
              <w:t>20 日: 132 / 50 日: 122</w:t>
            </w:r>
          </w:p>
        </w:tc>
      </w:tr>
      <w:tr>
        <w:tc>
          <w:tcPr>
            <w:tcW w:type="dxa" w:w="1234"/>
          </w:tcPr>
          <w:p>
            <w:r>
              <w:t>**0700.HK**</w:t>
            </w:r>
          </w:p>
        </w:tc>
        <w:tc>
          <w:tcPr>
            <w:tcW w:type="dxa" w:w="1234"/>
          </w:tcPr>
          <w:p>
            <w:r>
              <w:t>490</w:t>
            </w:r>
          </w:p>
        </w:tc>
        <w:tc>
          <w:tcPr>
            <w:tcW w:type="dxa" w:w="1234"/>
          </w:tcPr>
          <w:p>
            <w:r>
              <w:t>465</w:t>
            </w:r>
          </w:p>
        </w:tc>
        <w:tc>
          <w:tcPr>
            <w:tcW w:type="dxa" w:w="1234"/>
          </w:tcPr>
          <w:p>
            <w:r>
              <w:t>440-455</w:t>
            </w:r>
          </w:p>
        </w:tc>
        <w:tc>
          <w:tcPr>
            <w:tcW w:type="dxa" w:w="1234"/>
          </w:tcPr>
          <w:p>
            <w:r>
              <w:t>430</w:t>
            </w:r>
          </w:p>
        </w:tc>
        <w:tc>
          <w:tcPr>
            <w:tcW w:type="dxa" w:w="1234"/>
          </w:tcPr>
          <w:p>
            <w:r>
              <w:t>410</w:t>
            </w:r>
          </w:p>
        </w:tc>
        <w:tc>
          <w:tcPr>
            <w:tcW w:type="dxa" w:w="1234"/>
          </w:tcPr>
          <w:p>
            <w:r>
              <w:t>20 日: 442 / 50 日: 425</w:t>
            </w:r>
          </w:p>
        </w:tc>
      </w:tr>
      <w:tr>
        <w:tc>
          <w:tcPr>
            <w:tcW w:type="dxa" w:w="1234"/>
            <w:shd w:fill="F9F9F9" w:val="clear"/>
          </w:tcPr>
          <w:p>
            <w:r>
              <w:t>**03690.HK**</w:t>
            </w:r>
          </w:p>
        </w:tc>
        <w:tc>
          <w:tcPr>
            <w:tcW w:type="dxa" w:w="1234"/>
            <w:shd w:fill="F9F9F9" w:val="clear"/>
          </w:tcPr>
          <w:p>
            <w:r>
              <w:t>170</w:t>
            </w:r>
          </w:p>
        </w:tc>
        <w:tc>
          <w:tcPr>
            <w:tcW w:type="dxa" w:w="1234"/>
            <w:shd w:fill="F9F9F9" w:val="clear"/>
          </w:tcPr>
          <w:p>
            <w:r>
              <w:t>155</w:t>
            </w:r>
          </w:p>
        </w:tc>
        <w:tc>
          <w:tcPr>
            <w:tcW w:type="dxa" w:w="1234"/>
            <w:shd w:fill="F9F9F9" w:val="clear"/>
          </w:tcPr>
          <w:p>
            <w:r>
              <w:t>140-150</w:t>
            </w:r>
          </w:p>
        </w:tc>
        <w:tc>
          <w:tcPr>
            <w:tcW w:type="dxa" w:w="1234"/>
            <w:shd w:fill="F9F9F9" w:val="clear"/>
          </w:tcPr>
          <w:p>
            <w:r>
              <w:t>135</w:t>
            </w:r>
          </w:p>
        </w:tc>
        <w:tc>
          <w:tcPr>
            <w:tcW w:type="dxa" w:w="1234"/>
            <w:shd w:fill="F9F9F9" w:val="clear"/>
          </w:tcPr>
          <w:p>
            <w:r>
              <w:t>125</w:t>
            </w:r>
          </w:p>
        </w:tc>
        <w:tc>
          <w:tcPr>
            <w:tcW w:type="dxa" w:w="1234"/>
            <w:shd w:fill="F9F9F9" w:val="clear"/>
          </w:tcPr>
          <w:p>
            <w:r>
              <w:t>20 日: 142 / 50 日: 130</w:t>
            </w:r>
          </w:p>
        </w:tc>
      </w:tr>
    </w:tbl>
    <w:p/>
    <w:p>
      <w:pPr>
        <w:spacing w:before="120" w:after="120"/>
        <w:pBdr>
          <w:bottom w:val="single" w:sz="12" w:space="1" w:color="000000"/>
        </w:pBdr>
      </w:pPr>
    </w:p>
    <w:p>
      <w:pPr>
        <w:pStyle w:val="Heading2"/>
      </w:pPr>
      <w:r>
        <w:rPr>
          <w:color w:val="003366"/>
        </w:rPr>
        <w:t>免責聲明</w:t>
      </w:r>
    </w:p>
    <w:p>
      <w:pPr>
        <w:ind w:left="567" w:right="567"/>
      </w:pPr>
      <w:r>
        <w:rPr>
          <w:i/>
          <w:color w:val="666666"/>
        </w:rPr>
        <w:t>**本報告僅供參考，不構成投資建議。**</w:t>
        <w:br/>
        <w:br/>
        <w:t>1. 所有預測基於公開新聞資訊及技術分析模型，存在固有不確定性</w:t>
        <w:br/>
        <w:t>2. 市場狀況瞬息萬變，實際走勢可能與預測偏離</w:t>
        <w:br/>
        <w:t>3. 投資決策請結合自身風險承受能力、投資期限及財務狀況獨立判斷</w:t>
        <w:br/>
        <w:t>4. 歷史表現不代表未來表現，過往數據僅供參考</w:t>
        <w:br/>
        <w:t>5. 建議投資者諮詢持牌財務顧問後再做決策</w:t>
      </w:r>
    </w:p>
    <w:p>
      <w:pPr>
        <w:spacing w:before="120" w:after="120"/>
        <w:pBdr>
          <w:bottom w:val="single" w:sz="12" w:space="1" w:color="000000"/>
        </w:pBdr>
      </w:pPr>
    </w:p>
    <w:p>
      <w:r>
        <w:rPr>
          <w:b/>
        </w:rPr>
        <w:t>報告結束</w:t>
      </w:r>
    </w:p>
    <w:p>
      <w:r>
        <w:rPr>
          <w:i/>
        </w:rPr>
        <w:t>本報告由 AI 分析系統基於公開市場數據自動生成，數據截止至 2026-08-31 00:40 UTC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sz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